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2.png" ContentType="image/png"/>
  <Override PartName="/word/media/rId3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Lecture16</w:t>
      </w:r>
    </w:p>
    <w:p>
      <w:pPr>
        <w:pStyle w:val="Subtitle"/>
      </w:pPr>
      <w:r>
        <w:t xml:space="preserve">CHIP</w:t>
      </w:r>
      <w:r>
        <w:t xml:space="preserve"> </w:t>
      </w:r>
      <w:r>
        <w:t xml:space="preserve">Assessment</w:t>
      </w:r>
      <w:r>
        <w:t xml:space="preserve"> </w:t>
      </w:r>
      <w:r>
        <w:t xml:space="preserve">Overview</w:t>
      </w:r>
    </w:p>
    <w:p>
      <w:pPr>
        <w:pStyle w:val="Author"/>
      </w:pPr>
      <w:r>
        <w:t xml:space="preserve">Dr</w:t>
      </w:r>
      <w:r>
        <w:t xml:space="preserve"> </w:t>
      </w:r>
      <w:r>
        <w:t xml:space="preserve">Gordon</w:t>
      </w:r>
      <w:r>
        <w:t xml:space="preserve"> </w:t>
      </w:r>
      <w:r>
        <w:t xml:space="preserve">Wright</w:t>
      </w:r>
    </w:p>
    <w:p>
      <w:pPr>
        <w:pStyle w:val="Date"/>
      </w:pPr>
      <w:r>
        <w:t xml:space="preserve">27</w:t>
      </w:r>
      <w:r>
        <w:t xml:space="preserve"> </w:t>
      </w:r>
      <w:r>
        <w:t xml:space="preserve">February,</w:t>
      </w:r>
      <w:r>
        <w:t xml:space="preserve"> </w:t>
      </w:r>
      <w:r>
        <w:t xml:space="preserve">2023</w:t>
      </w:r>
    </w:p>
    <w:bookmarkStart w:id="40" w:name="overview-of-the-chip-learning-log"/>
    <w:p>
      <w:pPr>
        <w:pStyle w:val="Heading1"/>
      </w:pPr>
      <w:r>
        <w:t xml:space="preserve">Overview of the CHIP Learning Log</w:t>
      </w:r>
    </w:p>
    <w:bookmarkStart w:id="20" w:name="chip-learning-log---whats-it-all-about"/>
    <w:p>
      <w:pPr>
        <w:pStyle w:val="Heading2"/>
      </w:pPr>
      <w:r>
        <w:t xml:space="preserve">CHIP Learning Log - What’s it all about?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909090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p>
            <w:pPr>
              <w:pStyle w:val="BodyText"/>
            </w:pPr>
            <w:pPr>
              <w:spacing w:before="16" w:after="16"/>
            </w:pPr>
            <w:r>
              <w:t xml:space="preserve">CHIP stands for Conceptual, Historical and Integrative Perspectives.</w:t>
            </w:r>
          </w:p>
        </w:tc>
      </w:tr>
    </w:tbl>
    <w:p>
      <w:pPr>
        <w:pStyle w:val="BodyText"/>
      </w:pPr>
      <w:r>
        <w:t xml:space="preserve">. . .</w:t>
      </w:r>
    </w:p>
    <w:p>
      <w:pPr>
        <w:pStyle w:val="BodyText"/>
      </w:pPr>
      <w:r>
        <w:t xml:space="preserve">As you become active psychological researchers - and over half way</w:t>
      </w:r>
      <w:r>
        <w:t xml:space="preserve"> </w:t>
      </w:r>
      <w:r>
        <w:t xml:space="preserve">through your undergraduate training in psychology - it is important to</w:t>
      </w:r>
      <w:r>
        <w:t xml:space="preserve"> </w:t>
      </w:r>
      <w:r>
        <w:t xml:space="preserve">consider the wider context of what you are doing.</w:t>
      </w:r>
    </w:p>
    <w:bookmarkEnd w:id="20"/>
    <w:bookmarkStart w:id="21" w:name="learning-log-huh"/>
    <w:p>
      <w:pPr>
        <w:pStyle w:val="Heading2"/>
      </w:pPr>
      <w:r>
        <w:t xml:space="preserve">Learning log? huh?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909090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FirstParagraph"/>
            </w:pPr>
            <w:pPr>
              <w:spacing w:before="16" w:after="64"/>
            </w:pPr>
          </w:p>
          <w:p>
            <w:pPr>
              <w:pStyle w:val="BodyText"/>
            </w:pPr>
            <w:pPr>
              <w:spacing w:before="16" w:after="16"/>
            </w:pPr>
            <w:r>
              <w:t xml:space="preserve">A Learning Log is a reflective account of your learning journey. It</w:t>
            </w:r>
            <w:r>
              <w:t xml:space="preserve"> </w:t>
            </w:r>
            <w:r>
              <w:t xml:space="preserve">requires reflection and meta-cognitive practice.</w:t>
            </w:r>
          </w:p>
        </w:tc>
      </w:tr>
    </w:tbl>
    <w:p>
      <w:pPr>
        <w:pStyle w:val="BodyText"/>
      </w:pPr>
      <w:r>
        <w:t xml:space="preserve">. . .</w:t>
      </w:r>
    </w:p>
    <w:p>
      <w:pPr>
        <w:pStyle w:val="BodyText"/>
      </w:pPr>
      <w:r>
        <w:t xml:space="preserve">By thinking about your personal learning journey, you take an objective</w:t>
      </w:r>
      <w:r>
        <w:t xml:space="preserve"> </w:t>
      </w:r>
      <w:r>
        <w:t xml:space="preserve">‘</w:t>
      </w:r>
      <w:r>
        <w:t xml:space="preserve">outside</w:t>
      </w:r>
      <w:r>
        <w:t xml:space="preserve">’</w:t>
      </w:r>
      <w:r>
        <w:t xml:space="preserve"> </w:t>
      </w:r>
      <w:r>
        <w:t xml:space="preserve">perspective on this important process. By doing so, it aids</w:t>
      </w:r>
      <w:r>
        <w:t xml:space="preserve"> </w:t>
      </w:r>
      <w:r>
        <w:t xml:space="preserve">meta-learning - or the process of</w:t>
      </w:r>
      <w:r>
        <w:t xml:space="preserve"> </w:t>
      </w:r>
      <w:r>
        <w:t xml:space="preserve">‘</w:t>
      </w:r>
      <w:r>
        <w:t xml:space="preserve">learning to learn</w:t>
      </w:r>
      <w:r>
        <w:t xml:space="preserve">’</w:t>
      </w:r>
      <w:r>
        <w:t xml:space="preserve">.</w:t>
      </w:r>
    </w:p>
    <w:p>
      <w:pPr>
        <w:pStyle w:val="BodyText"/>
      </w:pPr>
      <w:r>
        <w:t xml:space="preserve">. . .</w:t>
      </w:r>
    </w:p>
    <w:p>
      <w:pPr>
        <w:pStyle w:val="BlockText"/>
      </w:pPr>
      <w:r>
        <w:t xml:space="preserve">Whether you end up being a</w:t>
      </w:r>
      <w:r>
        <w:t xml:space="preserve"> </w:t>
      </w:r>
      <w:r>
        <w:t xml:space="preserve">‘</w:t>
      </w:r>
      <w:r>
        <w:t xml:space="preserve">psychologist</w:t>
      </w:r>
      <w:r>
        <w:t xml:space="preserve">’</w:t>
      </w:r>
      <w:r>
        <w:t xml:space="preserve"> </w:t>
      </w:r>
      <w:r>
        <w:t xml:space="preserve">or not, your degree is an</w:t>
      </w:r>
      <w:r>
        <w:t xml:space="preserve"> </w:t>
      </w:r>
      <w:r>
        <w:t xml:space="preserve">important opportunity to demonstrate your ability to learn (knowledge</w:t>
      </w:r>
      <w:r>
        <w:t xml:space="preserve"> </w:t>
      </w:r>
      <w:r>
        <w:t xml:space="preserve">AND skills)</w:t>
      </w:r>
    </w:p>
    <w:bookmarkEnd w:id="21"/>
    <w:bookmarkStart w:id="22" w:name="X094a2bfe487bf44ea9359fb41a8a5a950b51ff2"/>
    <w:p>
      <w:pPr>
        <w:pStyle w:val="Heading2"/>
      </w:pPr>
      <w:r>
        <w:t xml:space="preserve">The topics already introduced this year include:</w:t>
      </w:r>
    </w:p>
    <w:p>
      <w:pPr>
        <w:numPr>
          <w:ilvl w:val="0"/>
          <w:numId w:val="1001"/>
        </w:numPr>
        <w:pStyle w:val="Compact"/>
      </w:pPr>
      <w:r>
        <w:t xml:space="preserve">What is Science?</w:t>
      </w:r>
    </w:p>
    <w:p>
      <w:pPr>
        <w:numPr>
          <w:ilvl w:val="0"/>
          <w:numId w:val="1001"/>
        </w:numPr>
        <w:pStyle w:val="Compact"/>
      </w:pPr>
      <w:r>
        <w:t xml:space="preserve">Artificial Intelligence</w:t>
      </w:r>
    </w:p>
    <w:p>
      <w:pPr>
        <w:numPr>
          <w:ilvl w:val="0"/>
          <w:numId w:val="1001"/>
        </w:numPr>
        <w:pStyle w:val="Compact"/>
      </w:pPr>
      <w:r>
        <w:t xml:space="preserve">Open Science &amp; Open Practices</w:t>
      </w:r>
    </w:p>
    <w:p>
      <w:pPr>
        <w:numPr>
          <w:ilvl w:val="0"/>
          <w:numId w:val="1001"/>
        </w:numPr>
        <w:pStyle w:val="Compact"/>
      </w:pPr>
      <w:r>
        <w:t xml:space="preserve">Qualitative &amp;/Versus Quantitative Research</w:t>
      </w:r>
    </w:p>
    <w:p>
      <w:pPr>
        <w:numPr>
          <w:ilvl w:val="0"/>
          <w:numId w:val="1001"/>
        </w:numPr>
        <w:pStyle w:val="Compact"/>
      </w:pPr>
      <w:r>
        <w:t xml:space="preserve">MeSearch</w:t>
      </w:r>
    </w:p>
    <w:p>
      <w:pPr>
        <w:numPr>
          <w:ilvl w:val="0"/>
          <w:numId w:val="1001"/>
        </w:numPr>
        <w:pStyle w:val="Compact"/>
      </w:pPr>
      <w:r>
        <w:t xml:space="preserve">Inclusivity</w:t>
      </w:r>
    </w:p>
    <w:p>
      <w:pPr>
        <w:numPr>
          <w:ilvl w:val="0"/>
          <w:numId w:val="1002"/>
        </w:numPr>
        <w:pStyle w:val="Compact"/>
      </w:pPr>
      <w:r>
        <w:t xml:space="preserve">“</w:t>
      </w:r>
      <w:r>
        <w:t xml:space="preserve">MyPsychology</w:t>
      </w:r>
      <w:r>
        <w:t xml:space="preserve">”</w:t>
      </w:r>
    </w:p>
    <w:p>
      <w:pPr>
        <w:numPr>
          <w:ilvl w:val="0"/>
          <w:numId w:val="1002"/>
        </w:numPr>
        <w:pStyle w:val="Compact"/>
      </w:pPr>
      <w:r>
        <w:t xml:space="preserve">Ethics</w:t>
      </w:r>
    </w:p>
    <w:p>
      <w:pPr>
        <w:numPr>
          <w:ilvl w:val="0"/>
          <w:numId w:val="1002"/>
        </w:numPr>
        <w:pStyle w:val="Compact"/>
      </w:pPr>
      <w:r>
        <w:t xml:space="preserve">Psychometrics and scale development</w:t>
      </w:r>
    </w:p>
    <w:p>
      <w:pPr>
        <w:numPr>
          <w:ilvl w:val="0"/>
          <w:numId w:val="1002"/>
        </w:numPr>
        <w:pStyle w:val="Compact"/>
      </w:pPr>
      <w:r>
        <w:t xml:space="preserve">Bias in research</w:t>
      </w:r>
    </w:p>
    <w:p>
      <w:pPr>
        <w:numPr>
          <w:ilvl w:val="0"/>
          <w:numId w:val="1002"/>
        </w:numPr>
        <w:pStyle w:val="Compact"/>
      </w:pPr>
      <w:r>
        <w:t xml:space="preserve">Replication Crisis (&amp; Theory Crisis)</w:t>
      </w:r>
    </w:p>
    <w:p>
      <w:pPr>
        <w:numPr>
          <w:ilvl w:val="0"/>
          <w:numId w:val="1002"/>
        </w:numPr>
        <w:pStyle w:val="Compact"/>
      </w:pPr>
      <w:r>
        <w:t xml:space="preserve">Meta-cognition &amp; Reflective practice</w:t>
      </w:r>
    </w:p>
    <w:bookmarkEnd w:id="22"/>
    <w:bookmarkStart w:id="23" w:name="the-topics-approaching-this-year-are"/>
    <w:p>
      <w:pPr>
        <w:pStyle w:val="Heading2"/>
      </w:pPr>
      <w:r>
        <w:t xml:space="preserve">The topics approaching this year are:</w:t>
      </w:r>
    </w:p>
    <w:p>
      <w:pPr>
        <w:numPr>
          <w:ilvl w:val="0"/>
          <w:numId w:val="1003"/>
        </w:numPr>
        <w:pStyle w:val="Compact"/>
      </w:pPr>
      <w:r>
        <w:t xml:space="preserve">Psychology and science (available now)</w:t>
      </w:r>
    </w:p>
    <w:p>
      <w:pPr>
        <w:numPr>
          <w:ilvl w:val="0"/>
          <w:numId w:val="1003"/>
        </w:numPr>
        <w:pStyle w:val="Compact"/>
      </w:pPr>
      <w:r>
        <w:t xml:space="preserve">Evolution and Evolutionary Psychology</w:t>
      </w:r>
    </w:p>
    <w:p>
      <w:pPr>
        <w:numPr>
          <w:ilvl w:val="0"/>
          <w:numId w:val="1003"/>
        </w:numPr>
        <w:pStyle w:val="Compact"/>
      </w:pPr>
      <w:r>
        <w:t xml:space="preserve">Cultural Evolutionary Psychology</w:t>
      </w:r>
    </w:p>
    <w:p>
      <w:pPr>
        <w:numPr>
          <w:ilvl w:val="0"/>
          <w:numId w:val="1003"/>
        </w:numPr>
        <w:pStyle w:val="Compact"/>
      </w:pPr>
      <w:r>
        <w:t xml:space="preserve">Philosophy of Science</w:t>
      </w:r>
    </w:p>
    <w:p>
      <w:pPr>
        <w:numPr>
          <w:ilvl w:val="0"/>
          <w:numId w:val="1003"/>
        </w:numPr>
        <w:pStyle w:val="Compact"/>
      </w:pPr>
      <w:r>
        <w:t xml:space="preserve">Statistics and their dark history</w:t>
      </w:r>
    </w:p>
    <w:bookmarkEnd w:id="23"/>
    <w:bookmarkStart w:id="24" w:name="X14811f13c8efd729a2aafa3af1a5295aeda9444"/>
    <w:p>
      <w:pPr>
        <w:pStyle w:val="Heading2"/>
      </w:pPr>
      <w:r>
        <w:t xml:space="preserve">But you are welcome to choose more broadly:</w:t>
      </w:r>
    </w:p>
    <w:p>
      <w:pPr>
        <w:numPr>
          <w:ilvl w:val="0"/>
          <w:numId w:val="1004"/>
        </w:numPr>
      </w:pPr>
      <w:r>
        <w:t xml:space="preserve">If you can argue that your choice of topic meets the brief</w:t>
      </w:r>
    </w:p>
    <w:p>
      <w:pPr>
        <w:numPr>
          <w:ilvl w:val="0"/>
          <w:numId w:val="1004"/>
        </w:numPr>
      </w:pPr>
      <w:r>
        <w:t xml:space="preserve">AND you deal with the topic in line with the rubric</w:t>
      </w:r>
    </w:p>
    <w:p>
      <w:pPr>
        <w:numPr>
          <w:ilvl w:val="0"/>
          <w:numId w:val="1004"/>
        </w:numPr>
      </w:pPr>
      <w:r>
        <w:t xml:space="preserve">You are welcome to email me and confirm suitability</w:t>
      </w:r>
    </w:p>
    <w:bookmarkEnd w:id="24"/>
    <w:bookmarkStart w:id="25" w:name="assessment"/>
    <w:p>
      <w:pPr>
        <w:pStyle w:val="Heading2"/>
      </w:pPr>
      <w:r>
        <w:t xml:space="preserve">Assessment</w:t>
      </w:r>
    </w:p>
    <w:p>
      <w:pPr>
        <w:pStyle w:val="FirstParagraph"/>
      </w:pPr>
      <w:r>
        <w:t xml:space="preserve">Coursework is designed to allow you to engage with the</w:t>
      </w:r>
      <w:r>
        <w:t xml:space="preserve"> </w:t>
      </w:r>
      <w:r>
        <w:t xml:space="preserve">‘</w:t>
      </w:r>
      <w:r>
        <w:t xml:space="preserve">big picture</w:t>
      </w:r>
      <w:r>
        <w:t xml:space="preserve">’</w:t>
      </w:r>
      <w:r>
        <w:t xml:space="preserve"> </w:t>
      </w:r>
      <w:r>
        <w:t xml:space="preserve">of</w:t>
      </w:r>
      <w:r>
        <w:t xml:space="preserve"> </w:t>
      </w:r>
      <w:r>
        <w:t xml:space="preserve">your degree</w:t>
      </w:r>
    </w:p>
    <w:p>
      <w:pPr>
        <w:pStyle w:val="BodyText"/>
      </w:pPr>
      <w:r>
        <w:t xml:space="preserve">Think about how these issues link into psychology as a discipline, and</w:t>
      </w:r>
      <w:r>
        <w:t xml:space="preserve"> </w:t>
      </w:r>
      <w:r>
        <w:t xml:space="preserve">how they relate to your own thoughts about what psychology is or should</w:t>
      </w:r>
      <w:r>
        <w:t xml:space="preserve"> </w:t>
      </w:r>
      <w:r>
        <w:t xml:space="preserve">be</w:t>
      </w:r>
    </w:p>
    <w:p>
      <w:pPr>
        <w:pStyle w:val="BodyText"/>
      </w:pPr>
      <w:r>
        <w:t xml:space="preserve">Two essays of</w:t>
      </w:r>
      <w:r>
        <w:t xml:space="preserve"> </w:t>
      </w:r>
      <w:r>
        <w:rPr>
          <w:bCs/>
          <w:b/>
        </w:rPr>
        <w:t xml:space="preserve">max</w:t>
      </w:r>
      <w:r>
        <w:t xml:space="preserve"> </w:t>
      </w:r>
      <w:r>
        <w:t xml:space="preserve">700 words each</w:t>
      </w:r>
    </w:p>
    <w:p>
      <w:pPr>
        <w:pStyle w:val="BodyText"/>
      </w:pPr>
      <w:r>
        <w:t xml:space="preserve">Marks are awarded for reflection, evidence of learning and bring topics</w:t>
      </w:r>
      <w:r>
        <w:t xml:space="preserve"> </w:t>
      </w:r>
      <w:r>
        <w:t xml:space="preserve">together. Please see marking criteria for both essays.</w:t>
      </w:r>
    </w:p>
    <w:p>
      <w:pPr>
        <w:pStyle w:val="BodyText"/>
      </w:pPr>
      <w:r>
        <w:t xml:space="preserve">Not a regurgitation of facts.</w:t>
      </w:r>
    </w:p>
    <w:p>
      <w:pPr>
        <w:pStyle w:val="BodyText"/>
      </w:pPr>
      <w:r>
        <w:t xml:space="preserve">They are designed to be personal and reflective – embrace this aspect!</w:t>
      </w:r>
    </w:p>
    <w:bookmarkEnd w:id="25"/>
    <w:bookmarkStart w:id="26" w:name="essay-1"/>
    <w:p>
      <w:pPr>
        <w:pStyle w:val="Heading2"/>
      </w:pPr>
      <w:r>
        <w:t xml:space="preserve">Essay 1</w:t>
      </w:r>
    </w:p>
    <w:p>
      <w:pPr>
        <w:pStyle w:val="FirstParagraph"/>
      </w:pPr>
      <w:r>
        <w:t xml:space="preserve">Essay 1 is based on the content of ONE of the FOUR topics and should</w:t>
      </w:r>
      <w:r>
        <w:t xml:space="preserve"> </w:t>
      </w:r>
      <w:r>
        <w:t xml:space="preserve">adopt at least two of the following 6</w:t>
      </w:r>
      <w:r>
        <w:t xml:space="preserve"> </w:t>
      </w:r>
      <w:r>
        <w:t xml:space="preserve">‘</w:t>
      </w:r>
      <w:r>
        <w:t xml:space="preserve">perspectives</w:t>
      </w:r>
      <w:r>
        <w:t xml:space="preserve">’</w:t>
      </w:r>
      <w:r>
        <w:t xml:space="preserve">.</w:t>
      </w:r>
    </w:p>
    <w:p>
      <w:pPr>
        <w:pStyle w:val="BodyText"/>
      </w:pPr>
      <w:r>
        <w:t xml:space="preserve">STU - Your interests or experience as a student of psychology;</w:t>
      </w:r>
    </w:p>
    <w:p>
      <w:pPr>
        <w:pStyle w:val="BodyText"/>
      </w:pPr>
      <w:r>
        <w:t xml:space="preserve">TRN - Your role as a trainee psychologist;</w:t>
      </w:r>
    </w:p>
    <w:p>
      <w:pPr>
        <w:pStyle w:val="BodyText"/>
      </w:pPr>
      <w:r>
        <w:t xml:space="preserve">RES - A planned research project in or after your degree;</w:t>
      </w:r>
    </w:p>
    <w:p>
      <w:pPr>
        <w:pStyle w:val="BodyText"/>
      </w:pPr>
      <w:r>
        <w:t xml:space="preserve">HIS - The history of Psychology and related disciplines;</w:t>
      </w:r>
    </w:p>
    <w:p>
      <w:pPr>
        <w:pStyle w:val="BodyText"/>
      </w:pPr>
      <w:r>
        <w:t xml:space="preserve">PRA - Reporting on the Practice or Culture of Psychology;</w:t>
      </w:r>
    </w:p>
    <w:p>
      <w:pPr>
        <w:pStyle w:val="BodyText"/>
      </w:pPr>
      <w:r>
        <w:t xml:space="preserve">SCI - Assumptions about science and how it relates to psychology</w:t>
      </w:r>
    </w:p>
    <w:bookmarkEnd w:id="26"/>
    <w:bookmarkStart w:id="27" w:name="essay-1-tips"/>
    <w:p>
      <w:pPr>
        <w:pStyle w:val="Heading2"/>
      </w:pPr>
      <w:r>
        <w:t xml:space="preserve">Essay 1 tips</w:t>
      </w:r>
    </w:p>
    <w:p>
      <w:pPr>
        <w:numPr>
          <w:ilvl w:val="0"/>
          <w:numId w:val="1005"/>
        </w:numPr>
        <w:pStyle w:val="Compact"/>
      </w:pPr>
      <w:r>
        <w:t xml:space="preserve">Ask a specific question – and answer it.</w:t>
      </w:r>
    </w:p>
    <w:p>
      <w:pPr>
        <w:numPr>
          <w:ilvl w:val="0"/>
          <w:numId w:val="1005"/>
        </w:numPr>
        <w:pStyle w:val="Compact"/>
      </w:pPr>
      <w:r>
        <w:t xml:space="preserve">Intro, body, conclusion structure.</w:t>
      </w:r>
    </w:p>
    <w:p>
      <w:pPr>
        <w:numPr>
          <w:ilvl w:val="0"/>
          <w:numId w:val="1005"/>
        </w:numPr>
        <w:pStyle w:val="Compact"/>
      </w:pPr>
      <w:r>
        <w:t xml:space="preserve">Reflect on the topic and give your own opinion as to the answer!</w:t>
      </w:r>
    </w:p>
    <w:p>
      <w:pPr>
        <w:numPr>
          <w:ilvl w:val="0"/>
          <w:numId w:val="1005"/>
        </w:numPr>
        <w:pStyle w:val="Compact"/>
      </w:pPr>
      <w:r>
        <w:t xml:space="preserve">Present a journey in your learning or appreciation of the topic</w:t>
      </w:r>
    </w:p>
    <w:p>
      <w:pPr>
        <w:numPr>
          <w:ilvl w:val="0"/>
          <w:numId w:val="1005"/>
        </w:numPr>
        <w:pStyle w:val="Compact"/>
      </w:pPr>
      <w:r>
        <w:t xml:space="preserve">Ensure your answer is argued using examples</w:t>
      </w:r>
    </w:p>
    <w:p>
      <w:pPr>
        <w:numPr>
          <w:ilvl w:val="0"/>
          <w:numId w:val="1005"/>
        </w:numPr>
        <w:pStyle w:val="Compact"/>
      </w:pPr>
      <w:r>
        <w:t xml:space="preserve">Use evidence in your argument from a range of sources, ideally do</w:t>
      </w:r>
      <w:r>
        <w:t xml:space="preserve"> </w:t>
      </w:r>
      <w:r>
        <w:t xml:space="preserve">some strategic wider reading</w:t>
      </w:r>
    </w:p>
    <w:p>
      <w:pPr>
        <w:numPr>
          <w:ilvl w:val="0"/>
          <w:numId w:val="1005"/>
        </w:numPr>
        <w:pStyle w:val="Compact"/>
      </w:pPr>
      <w:r>
        <w:t xml:space="preserve">Present and reference it well</w:t>
      </w:r>
    </w:p>
    <w:bookmarkEnd w:id="27"/>
    <w:bookmarkStart w:id="28" w:name="essay-2"/>
    <w:p>
      <w:pPr>
        <w:pStyle w:val="Heading2"/>
      </w:pPr>
      <w:r>
        <w:t xml:space="preserve">Essay 2</w:t>
      </w:r>
    </w:p>
    <w:p>
      <w:pPr>
        <w:pStyle w:val="FirstParagraph"/>
      </w:pPr>
      <w:r>
        <w:t xml:space="preserve">Essay 2 should focus on at least one of the OTHER topics covered in the</w:t>
      </w:r>
      <w:r>
        <w:t xml:space="preserve"> </w:t>
      </w:r>
      <w:r>
        <w:t xml:space="preserve">course.</w:t>
      </w:r>
    </w:p>
    <w:p>
      <w:pPr>
        <w:pStyle w:val="BodyText"/>
      </w:pPr>
      <w:r>
        <w:t xml:space="preserve">This answer should focus on a primary reading associated with the</w:t>
      </w:r>
      <w:r>
        <w:t xml:space="preserve"> </w:t>
      </w:r>
      <w:r>
        <w:t xml:space="preserve">lectures and then any further reading you have done (strongly</w:t>
      </w:r>
      <w:r>
        <w:t xml:space="preserve"> </w:t>
      </w:r>
      <w:r>
        <w:t xml:space="preserve">encouraged).</w:t>
      </w:r>
    </w:p>
    <w:p>
      <w:pPr>
        <w:pStyle w:val="BodyText"/>
      </w:pPr>
      <w:r>
        <w:t xml:space="preserve">You must identify that primary reading explicitly in the essay itself.</w:t>
      </w:r>
    </w:p>
    <w:p>
      <w:pPr>
        <w:pStyle w:val="BodyText"/>
      </w:pPr>
      <w:r>
        <w:t xml:space="preserve">You should not simply restate what the authors thought or found, but</w:t>
      </w:r>
      <w:r>
        <w:t xml:space="preserve"> </w:t>
      </w:r>
      <w:r>
        <w:t xml:space="preserve">rather briefly summarise the point that stimulated your interest in the</w:t>
      </w:r>
      <w:r>
        <w:t xml:space="preserve"> </w:t>
      </w:r>
      <w:r>
        <w:t xml:space="preserve">reading and use that as a springboard to discuss the topic or issue.</w:t>
      </w:r>
    </w:p>
    <w:p>
      <w:pPr>
        <w:pStyle w:val="BodyText"/>
      </w:pPr>
      <w:r>
        <w:t xml:space="preserve">Think about your perspective on the issues.</w:t>
      </w:r>
    </w:p>
    <w:p>
      <w:pPr>
        <w:pStyle w:val="BodyText"/>
      </w:pPr>
      <w:r>
        <w:t xml:space="preserve">What do you think about this debate or issue? We want to know!</w:t>
      </w:r>
    </w:p>
    <w:p>
      <w:pPr>
        <w:pStyle w:val="BodyText"/>
      </w:pPr>
      <w:r>
        <w:t xml:space="preserve">And what do you think are interesting directions for psychologists to</w:t>
      </w:r>
      <w:r>
        <w:t xml:space="preserve"> </w:t>
      </w:r>
      <w:r>
        <w:t xml:space="preserve">take this debate or issue in the future?</w:t>
      </w:r>
    </w:p>
    <w:bookmarkEnd w:id="28"/>
    <w:bookmarkStart w:id="29" w:name="essay-2-tips"/>
    <w:p>
      <w:pPr>
        <w:pStyle w:val="Heading2"/>
      </w:pPr>
      <w:r>
        <w:t xml:space="preserve">Essay 2 tips</w:t>
      </w:r>
    </w:p>
    <w:p>
      <w:pPr>
        <w:numPr>
          <w:ilvl w:val="0"/>
          <w:numId w:val="1006"/>
        </w:numPr>
        <w:pStyle w:val="Compact"/>
      </w:pPr>
      <w:r>
        <w:t xml:space="preserve">Explicitly identify a single initial reading and build upon that.</w:t>
      </w:r>
    </w:p>
    <w:p>
      <w:pPr>
        <w:numPr>
          <w:ilvl w:val="0"/>
          <w:numId w:val="1006"/>
        </w:numPr>
        <w:pStyle w:val="Compact"/>
      </w:pPr>
      <w:r>
        <w:t xml:space="preserve">Discuss a debate or issue that you think is interesting or important</w:t>
      </w:r>
    </w:p>
    <w:p>
      <w:pPr>
        <w:numPr>
          <w:ilvl w:val="0"/>
          <w:numId w:val="1006"/>
        </w:numPr>
        <w:pStyle w:val="Compact"/>
      </w:pPr>
      <w:r>
        <w:t xml:space="preserve">Give your own opinion and how this has developed or changed as a</w:t>
      </w:r>
      <w:r>
        <w:t xml:space="preserve"> </w:t>
      </w:r>
      <w:r>
        <w:t xml:space="preserve">result of the lecture, the course more widely, and/or the reading.</w:t>
      </w:r>
    </w:p>
    <w:p>
      <w:pPr>
        <w:numPr>
          <w:ilvl w:val="0"/>
          <w:numId w:val="1006"/>
        </w:numPr>
        <w:pStyle w:val="Compact"/>
      </w:pPr>
      <w:r>
        <w:t xml:space="preserve">Argue your opinion explicitly, own it and back it up with examples</w:t>
      </w:r>
    </w:p>
    <w:p>
      <w:pPr>
        <w:numPr>
          <w:ilvl w:val="0"/>
          <w:numId w:val="1006"/>
        </w:numPr>
        <w:pStyle w:val="Compact"/>
      </w:pPr>
      <w:r>
        <w:t xml:space="preserve">Use evidence in your argument from a range of sources, ideally do</w:t>
      </w:r>
      <w:r>
        <w:t xml:space="preserve"> </w:t>
      </w:r>
      <w:r>
        <w:t xml:space="preserve">some strategic wider reading</w:t>
      </w:r>
    </w:p>
    <w:p>
      <w:pPr>
        <w:numPr>
          <w:ilvl w:val="0"/>
          <w:numId w:val="1006"/>
        </w:numPr>
        <w:pStyle w:val="Compact"/>
      </w:pPr>
      <w:r>
        <w:t xml:space="preserve">Present and reference it well</w:t>
      </w:r>
    </w:p>
    <w:bookmarkEnd w:id="29"/>
    <w:bookmarkStart w:id="30" w:name="overlapping-content"/>
    <w:p>
      <w:pPr>
        <w:pStyle w:val="Heading2"/>
      </w:pPr>
      <w:r>
        <w:t xml:space="preserve">Overlapping content</w:t>
      </w:r>
    </w:p>
    <w:p>
      <w:pPr>
        <w:pStyle w:val="FirstParagraph"/>
      </w:pPr>
      <w:r>
        <w:t xml:space="preserve">You can combine across different topics in Essay 2 (e.g., you could talk</w:t>
      </w:r>
      <w:r>
        <w:t xml:space="preserve"> </w:t>
      </w:r>
      <w:r>
        <w:t xml:space="preserve">about Evolution and Consciousness, or Inclusivity and Meta Learning),</w:t>
      </w:r>
      <w:r>
        <w:t xml:space="preserve"> </w:t>
      </w:r>
      <w:r>
        <w:t xml:space="preserve">and thinking about links between topics is strongly encouraged.</w:t>
      </w:r>
    </w:p>
    <w:p>
      <w:pPr>
        <w:pStyle w:val="BodyText"/>
      </w:pPr>
      <w:r>
        <w:t xml:space="preserve">However, the material covered in Essay 2 must be different from Essay 1.</w:t>
      </w:r>
      <w:r>
        <w:t xml:space="preserve"> </w:t>
      </w:r>
      <w:r>
        <w:t xml:space="preserve">Students will be penalised for covering identical topics.</w:t>
      </w:r>
    </w:p>
    <w:bookmarkEnd w:id="30"/>
    <w:bookmarkStart w:id="31" w:name="submission"/>
    <w:p>
      <w:pPr>
        <w:pStyle w:val="Heading2"/>
      </w:pPr>
      <w:r>
        <w:t xml:space="preserve">Submission</w:t>
      </w:r>
    </w:p>
    <w:p>
      <w:pPr>
        <w:pStyle w:val="FirstParagraph"/>
      </w:pPr>
      <w:r>
        <w:t xml:space="preserve">Deadline is 10am Friday 21st April – ±3 weeks after the end of term</w:t>
      </w:r>
    </w:p>
    <w:p>
      <w:pPr>
        <w:pStyle w:val="BodyText"/>
      </w:pPr>
      <w:r>
        <w:t xml:space="preserve">Both answers should be written in essay-style prose (e.g., with APA</w:t>
      </w:r>
      <w:r>
        <w:t xml:space="preserve"> </w:t>
      </w:r>
      <w:r>
        <w:t xml:space="preserve">references where you refer to sources) put in a single document and</w:t>
      </w:r>
      <w:r>
        <w:t xml:space="preserve"> </w:t>
      </w:r>
      <w:r>
        <w:t xml:space="preserve">submitted to the coursework submission page.</w:t>
      </w:r>
    </w:p>
    <w:p>
      <w:pPr>
        <w:pStyle w:val="BodyText"/>
      </w:pPr>
      <w:r>
        <w:rPr>
          <w:u w:val="single"/>
        </w:rPr>
        <w:t xml:space="preserve">Max 700 words per answer (references not included in word</w:t>
      </w:r>
      <w:r>
        <w:rPr>
          <w:u w:val="single"/>
        </w:rPr>
        <w:t xml:space="preserve"> </w:t>
      </w:r>
      <w:r>
        <w:rPr>
          <w:u w:val="single"/>
        </w:rPr>
        <w:t xml:space="preserve">count)</w:t>
      </w:r>
    </w:p>
    <w:p>
      <w:pPr>
        <w:pStyle w:val="BodyText"/>
      </w:pPr>
      <w:r>
        <w:t xml:space="preserve">Remember that this only accounts for a smaller portion of the module</w:t>
      </w:r>
      <w:r>
        <w:t xml:space="preserve"> </w:t>
      </w:r>
      <w:r>
        <w:t xml:space="preserve">grade (15%). Should hopefully be an enjoyable way to reflect on issues</w:t>
      </w:r>
      <w:r>
        <w:t xml:space="preserve"> </w:t>
      </w:r>
      <w:r>
        <w:t xml:space="preserve">on the course you found interesting.</w:t>
      </w:r>
    </w:p>
    <w:bookmarkEnd w:id="31"/>
    <w:bookmarkStart w:id="38" w:name="mini-dissertation-reflective-account"/>
    <w:p>
      <w:pPr>
        <w:pStyle w:val="Heading2"/>
      </w:pPr>
      <w:r>
        <w:t xml:space="preserve">Mini-Dissertation Reflective Account</w:t>
      </w:r>
    </w:p>
    <w:p>
      <w:pPr>
        <w:pStyle w:val="FirstParagraph"/>
      </w:pPr>
      <w:r>
        <w:t xml:space="preserve">Just a quick reminder about the</w:t>
      </w:r>
      <w:r>
        <w:t xml:space="preserve"> </w:t>
      </w:r>
      <w:r>
        <w:rPr>
          <w:u w:val="single"/>
        </w:rPr>
        <w:t xml:space="preserve">compulsory</w:t>
      </w:r>
      <w:r>
        <w:t xml:space="preserve"> </w:t>
      </w:r>
      <w:r>
        <w:t xml:space="preserve">reflective</w:t>
      </w:r>
      <w:r>
        <w:t xml:space="preserve"> </w:t>
      </w:r>
      <w:r>
        <w:t xml:space="preserve">account at the end of the Mini-Dissertation.</w:t>
      </w:r>
    </w:p>
    <w:p>
      <w:pPr>
        <w:pStyle w:val="BodyText"/>
      </w:pPr>
      <w:r>
        <w:t xml:space="preserve">If you do not supply this, your Mini-Dissertation is not complete and</w:t>
      </w:r>
      <w:r>
        <w:t xml:space="preserve"> </w:t>
      </w:r>
      <w:r>
        <w:t xml:space="preserve">this impacts the mark.</w:t>
      </w:r>
    </w:p>
    <w:p>
      <w:pPr>
        <w:pStyle w:val="BodyText"/>
      </w:pPr>
      <w:r>
        <w:t xml:space="preserve">It is NOT an opportunity to gripe about group work, or to try to obtain</w:t>
      </w:r>
      <w:r>
        <w:t xml:space="preserve"> </w:t>
      </w:r>
      <w:r>
        <w:t xml:space="preserve">favourable marks.</w:t>
      </w:r>
    </w:p>
    <w:p>
      <w:pPr>
        <w:pStyle w:val="BodyText"/>
      </w:pPr>
      <w:r>
        <w:t xml:space="preserve">It’s another opportunity to reflect on your learning journey.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943600" cy="3220669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images/image-43878159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0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943600" cy="2875043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images/image-88665360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5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39" w:name="X3c5bdaa6fc5854443eb3a3622133b3569477b45"/>
    <w:p>
      <w:pPr>
        <w:pStyle w:val="Heading2"/>
      </w:pPr>
      <w:r>
        <w:t xml:space="preserve">Looking forward to seeing you in Labs tomorrow</w:t>
      </w:r>
    </w:p>
    <w:bookmarkEnd w:id="39"/>
    <w:bookmarkEnd w:id="40"/>
    <w:sectPr w:rsidR="0088650E" w:rsidRPr="00E343F9"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tkinson Hyperlegible">
    <w:panose1 w:val="00000000000000000000"/>
    <w:charset w:val="00"/>
    <w:family w:val="auto"/>
    <w:notTrueType/>
    <w:pitch w:val="variable"/>
    <w:sig w:usb0="00000027" w:usb1="00000000" w:usb2="00000000" w:usb3="00000000" w:csb0="0000008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FFFFFF7C"/>
    <w:multiLevelType w:val="singleLevel"/>
    <w:tmpl w:val="DF66E58A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5F98E458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B4026960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4EA5DD0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12906A7E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cs="Symbol" w:hAnsi="Symbol" w:hint="default"/>
      </w:rPr>
    </w:lvl>
  </w:abstractNum>
  <w:abstractNum w15:restartNumberingAfterBreak="0" w:abstractNumId="5">
    <w:nsid w:val="FFFFFF81"/>
    <w:multiLevelType w:val="singleLevel"/>
    <w:tmpl w:val="EBD6FB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F12A7248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A6082D0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7430E372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A4AC0676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170CD2DE"/>
    <w:multiLevelType w:val="multilevel"/>
    <w:tmpl w:val="FC5E68C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463625701" w:numId="1">
    <w:abstractNumId w:val="10"/>
  </w:num>
  <w:num w16cid:durableId="398986169" w:numId="2">
    <w:abstractNumId w:val="0"/>
  </w:num>
  <w:num w16cid:durableId="1447194981" w:numId="3">
    <w:abstractNumId w:val="1"/>
  </w:num>
  <w:num w16cid:durableId="1354303259" w:numId="4">
    <w:abstractNumId w:val="2"/>
  </w:num>
  <w:num w16cid:durableId="1099714785" w:numId="5">
    <w:abstractNumId w:val="3"/>
  </w:num>
  <w:num w16cid:durableId="1800102660" w:numId="6">
    <w:abstractNumId w:val="8"/>
  </w:num>
  <w:num w16cid:durableId="1079213627" w:numId="7">
    <w:abstractNumId w:val="4"/>
  </w:num>
  <w:num w16cid:durableId="2073961952" w:numId="8">
    <w:abstractNumId w:val="5"/>
  </w:num>
  <w:num w16cid:durableId="649210763" w:numId="9">
    <w:abstractNumId w:val="6"/>
  </w:num>
  <w:num w16cid:durableId="1063018244" w:numId="10">
    <w:abstractNumId w:val="7"/>
  </w:num>
  <w:num w16cid:durableId="184291971" w:numId="11">
    <w:abstractNumId w:val="9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89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011855"/>
    <w:pPr>
      <w:spacing w:before="120"/>
    </w:pPr>
    <w:rPr>
      <w:rFonts w:ascii="Atkinson Hyperlegible" w:hAnsi="Atkinson Hyperlegible"/>
    </w:rPr>
  </w:style>
  <w:style w:styleId="Heading1" w:type="paragraph">
    <w:name w:val="heading 1"/>
    <w:basedOn w:val="Normal"/>
    <w:next w:val="BodyText"/>
    <w:uiPriority w:val="9"/>
    <w:qFormat/>
    <w:rsid w:val="000E3EAF"/>
    <w:pPr>
      <w:keepNext/>
      <w:keepLines/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shd w:color="auto" w:fill="auto" w:val="pct15"/>
      <w:spacing w:after="0" w:before="480"/>
      <w:outlineLvl w:val="0"/>
    </w:pPr>
    <w:rPr>
      <w:rFonts w:cstheme="majorBidi" w:eastAsiaTheme="majorEastAsia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rsid w:val="003E251B"/>
    <w:pPr>
      <w:keepNext/>
      <w:keepLines/>
      <w:pBdr>
        <w:top w:color="auto" w:space="4" w:sz="4" w:val="single"/>
      </w:pBdr>
      <w:spacing w:after="480" w:before="480"/>
      <w:contextualSpacing/>
      <w:jc w:val="center"/>
      <w:outlineLvl w:val="1"/>
    </w:pPr>
    <w:rPr>
      <w:rFonts w:cstheme="majorBidi" w:eastAsiaTheme="majorEastAsia"/>
      <w:b/>
      <w:bCs/>
      <w:color w:themeColor="text2" w:val="1F497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2"/>
    </w:pPr>
    <w:rPr>
      <w:rFonts w:cstheme="majorBidi" w:eastAsiaTheme="majorEastAsia"/>
      <w:b/>
      <w:bCs/>
      <w:color w:themeColor="accent1" w:val="4F81BD"/>
    </w:rPr>
  </w:style>
  <w:style w:styleId="Heading4" w:type="paragraph">
    <w:name w:val="heading 4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3"/>
    </w:pPr>
    <w:rPr>
      <w:rFonts w:cstheme="majorBidi" w:eastAsiaTheme="majorEastAsia"/>
      <w:bCs/>
      <w:i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4"/>
    </w:pPr>
    <w:rPr>
      <w:rFonts w:cstheme="majorBidi" w:eastAsiaTheme="majorEastAsia"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5"/>
    </w:pPr>
    <w:rPr>
      <w:rFonts w:cstheme="majorBidi" w:eastAsiaTheme="majorEastAsia"/>
      <w:color w:themeColor="accent1" w:val="4F81BD"/>
    </w:rPr>
  </w:style>
  <w:style w:styleId="Heading7" w:type="paragraph">
    <w:name w:val="heading 7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6"/>
    </w:pPr>
    <w:rPr>
      <w:rFonts w:cstheme="majorBidi" w:eastAsiaTheme="majorEastAsia"/>
      <w:color w:themeColor="accent1" w:val="4F81BD"/>
    </w:rPr>
  </w:style>
  <w:style w:styleId="Heading8" w:type="paragraph">
    <w:name w:val="heading 8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7"/>
    </w:pPr>
    <w:rPr>
      <w:rFonts w:cstheme="majorBidi" w:eastAsiaTheme="majorEastAsia"/>
      <w:color w:themeColor="accent1" w:val="4F81BD"/>
    </w:rPr>
  </w:style>
  <w:style w:styleId="Heading9" w:type="paragraph">
    <w:name w:val="heading 9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8"/>
    </w:pPr>
    <w:rPr>
      <w:rFonts w:cstheme="majorBidi" w:eastAsiaTheme="majorEastAsia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qFormat/>
    <w:rsid w:val="00641073"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  <w:rsid w:val="00641073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rsid w:val="006D2303"/>
    <w:pPr>
      <w:keepNext/>
      <w:keepLines/>
      <w:spacing w:after="240" w:before="480"/>
      <w:jc w:val="center"/>
    </w:pPr>
    <w:rPr>
      <w:rFonts w:cstheme="majorBidi" w:eastAsiaTheme="majorEastAsia"/>
      <w:b/>
      <w:bCs/>
      <w:color w:val="325B74"/>
      <w:sz w:val="36"/>
      <w:szCs w:val="36"/>
    </w:rPr>
  </w:style>
  <w:style w:styleId="Subtitle" w:type="paragraph">
    <w:name w:val="Subtitle"/>
    <w:basedOn w:val="Title"/>
    <w:next w:val="BodyText"/>
    <w:qFormat/>
    <w:rsid w:val="006D2303"/>
    <w:pPr>
      <w:spacing w:before="240"/>
    </w:pPr>
    <w:rPr>
      <w:i/>
      <w:sz w:val="30"/>
      <w:szCs w:val="30"/>
    </w:rPr>
  </w:style>
  <w:style w:customStyle="1" w:styleId="Author" w:type="paragraph">
    <w:name w:val="Author"/>
    <w:next w:val="BodyText"/>
    <w:qFormat/>
    <w:rsid w:val="00641073"/>
    <w:pPr>
      <w:keepNext/>
      <w:keepLines/>
      <w:jc w:val="center"/>
    </w:pPr>
    <w:rPr>
      <w:rFonts w:ascii="Atkinson Hyperlegible" w:hAnsi="Atkinson Hyperlegible"/>
    </w:rPr>
  </w:style>
  <w:style w:styleId="Date" w:type="paragraph">
    <w:name w:val="Date"/>
    <w:next w:val="BodyText"/>
    <w:qFormat/>
    <w:rsid w:val="00641073"/>
    <w:pPr>
      <w:keepNext/>
      <w:keepLines/>
      <w:jc w:val="center"/>
    </w:pPr>
    <w:rPr>
      <w:rFonts w:ascii="Atkinson Hyperlegible" w:hAnsi="Atkinson Hyperlegible"/>
    </w:rPr>
  </w:style>
  <w:style w:customStyle="1" w:styleId="Abstract" w:type="paragraph">
    <w:name w:val="Abstract"/>
    <w:basedOn w:val="Normal"/>
    <w:next w:val="BodyText"/>
    <w:qFormat/>
    <w:rsid w:val="00641073"/>
    <w:pPr>
      <w:keepNext/>
      <w:keepLines/>
      <w:spacing w:after="300" w:before="300"/>
    </w:pPr>
    <w:rPr>
      <w:rFonts w:cs="Times New Roman (Body CS)"/>
      <w:sz w:val="20"/>
      <w:szCs w:val="20"/>
    </w:rPr>
  </w:style>
  <w:style w:styleId="Bibliography" w:type="paragraph">
    <w:name w:val="Bibliography"/>
    <w:basedOn w:val="Normal"/>
    <w:qFormat/>
    <w:rsid w:val="004C5413"/>
    <w:pPr>
      <w:ind w:hanging="510" w:left="510"/>
    </w:p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left="480" w:right="480"/>
    </w:pPr>
  </w:style>
  <w:style w:styleId="FootnoteText" w:type="paragraph">
    <w:name w:val="footnote text"/>
    <w:basedOn w:val="Normal"/>
    <w:uiPriority w:val="9"/>
    <w:unhideWhenUsed/>
    <w:qFormat/>
    <w:rsid w:val="00E343F9"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rsid w:val="00E343F9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  <w:rsid w:val="00E343F9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rsid w:val="00E343F9"/>
    <w:pPr>
      <w:keepNext/>
    </w:pPr>
  </w:style>
  <w:style w:customStyle="1" w:styleId="ImageCaption" w:type="paragraph">
    <w:name w:val="Image Caption"/>
    <w:basedOn w:val="Caption"/>
    <w:rsid w:val="00E343F9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rPr>
      <w:rFonts w:ascii="Consolas" w:hAnsi="Consolas"/>
      <w:sz w:val="22"/>
    </w:rPr>
  </w:style>
  <w:style w:customStyle="1" w:styleId="SectionNumber" w:type="character">
    <w:name w:val="Section Number"/>
    <w:basedOn w:val="CaptionChar"/>
  </w:style>
  <w:style w:styleId="FootnoteReference" w:type="character">
    <w:name w:val="footnote reference"/>
    <w:basedOn w:val="CaptionChar"/>
    <w:rsid w:val="00E343F9"/>
    <w:rPr>
      <w:vertAlign w:val="superscript"/>
    </w:rPr>
  </w:style>
  <w:style w:styleId="Hyperlink" w:type="character">
    <w:name w:val="Hyperlink"/>
    <w:basedOn w:val="CaptionChar"/>
    <w:rsid w:val="00E343F9"/>
    <w:rPr>
      <w:rFonts w:ascii="Atkinson Hyperlegible" w:hAnsi="Atkinson Hyperlegible"/>
      <w:color w:val="0070C0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hAnsiTheme="majorHAnsi"/>
      <w:b w:val="0"/>
      <w:bCs w:val="0"/>
      <w:color w:themeColor="accent1" w:themeShade="BF" w:val="365F91"/>
    </w:rPr>
  </w:style>
  <w:style w:styleId="FollowedHyperlink" w:type="character">
    <w:name w:val="FollowedHyperlink"/>
    <w:basedOn w:val="DefaultParagraphFont"/>
    <w:semiHidden/>
    <w:unhideWhenUsed/>
    <w:rsid w:val="00641073"/>
    <w:rPr>
      <w:color w:themeColor="followedHyperlink" w:val="800080"/>
      <w:u w:val="single"/>
    </w:rPr>
  </w:style>
  <w:style w:customStyle="1" w:styleId="BodyTextChar" w:type="character">
    <w:name w:val="Body Text Char"/>
    <w:basedOn w:val="DefaultParagraphFont"/>
    <w:link w:val="BodyText"/>
    <w:rsid w:val="00641073"/>
    <w:rPr>
      <w:rFonts w:ascii="Atkinson Hyperlegible" w:hAnsi="Atkinson Hyperlegible"/>
    </w:rPr>
  </w:style>
  <w:style w:styleId="NoteHeading" w:type="paragraph">
    <w:name w:val="Note Heading"/>
    <w:basedOn w:val="Normal"/>
    <w:next w:val="Normal"/>
    <w:link w:val="NoteHeadingChar"/>
    <w:rsid w:val="00CF50C1"/>
    <w:pPr>
      <w:spacing w:after="0"/>
    </w:pPr>
  </w:style>
  <w:style w:customStyle="1" w:styleId="NoteHeadingChar" w:type="character">
    <w:name w:val="Note Heading Char"/>
    <w:basedOn w:val="DefaultParagraphFont"/>
    <w:link w:val="NoteHeading"/>
    <w:rsid w:val="00CF50C1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color w:val="5e5e5e"/>
      <w:shd w:val="clear" w:fill="f1f3f5"/>
      <w:i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color w:val="5e5e5e"/>
      <w:shd w:val="clear" w:fill="f1f3f5"/>
      <w:i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color w:val="5e5e5e"/>
      <w:shd w:val="clear" w:fill="f1f3f5"/>
      <w:i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Lecture16</dc:title>
  <dc:creator>Dr Gordon Wright</dc:creator>
  <cp:keywords/>
  <dcterms:created xsi:type="dcterms:W3CDTF">2023-10-29T17:38:28Z</dcterms:created>
  <dcterms:modified xsi:type="dcterms:W3CDTF">2023-10-29T17:38:28Z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sl">
    <vt:lpwstr>../apa7.csl</vt:lpwstr>
  </property>
  <property fmtid="{D5CDD505-2E9C-101B-9397-08002B2CF9AE}" pid="7" name="date">
    <vt:lpwstr>27 February, 2023</vt:lpwstr>
  </property>
  <property fmtid="{D5CDD505-2E9C-101B-9397-08002B2CF9AE}" pid="8" name="date-format">
    <vt:lpwstr>DD MMMM, YYYY</vt:lpwstr>
  </property>
  <property fmtid="{D5CDD505-2E9C-101B-9397-08002B2CF9AE}" pid="9" name="editor">
    <vt:lpwstr>visual</vt:lpwstr>
  </property>
  <property fmtid="{D5CDD505-2E9C-101B-9397-08002B2CF9AE}" pid="10" name="footer">
    <vt:lpwstr>PS52007D Research Methods VLE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ogo">
    <vt:lpwstr>images/RMIPHEX.png</vt:lpwstr>
  </property>
  <property fmtid="{D5CDD505-2E9C-101B-9397-08002B2CF9AE}" pid="16" name="menu">
    <vt:lpwstr>True</vt:lpwstr>
  </property>
  <property fmtid="{D5CDD505-2E9C-101B-9397-08002B2CF9AE}" pid="17" name="modulecode">
    <vt:lpwstr>PS52007D</vt:lpwstr>
  </property>
  <property fmtid="{D5CDD505-2E9C-101B-9397-08002B2CF9AE}" pid="18" name="navigation-mode">
    <vt:lpwstr>linear</vt:lpwstr>
  </property>
  <property fmtid="{D5CDD505-2E9C-101B-9397-08002B2CF9AE}" pid="19" name="subtitle">
    <vt:lpwstr>CHIP Assessment Overview</vt:lpwstr>
  </property>
  <property fmtid="{D5CDD505-2E9C-101B-9397-08002B2CF9AE}" pid="20" name="toc-title">
    <vt:lpwstr>Table of contents</vt:lpwstr>
  </property>
</Properties>
</file>