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31.png" ContentType="image/png"/>
  <Override PartName="/word/media/rId93.png" ContentType="image/png"/>
  <Override PartName="/word/media/rId89.png" ContentType="image/png"/>
  <Override PartName="/word/media/rId97.png" ContentType="image/png"/>
  <Override PartName="/word/media/rId101.png" ContentType="image/png"/>
  <Override PartName="/word/media/rId79.png" ContentType="image/png"/>
  <Override PartName="/word/media/rId84.png" ContentType="image/png"/>
  <Override PartName="/word/media/rId71.png" ContentType="image/png"/>
  <Override PartName="/word/media/rId60.png" ContentType="image/png"/>
  <Override PartName="/word/media/rId43.png" ContentType="image/png"/>
  <Override PartName="/word/media/rId57.png" ContentType="image/png"/>
  <Override PartName="/word/media/rId63.png" ContentType="image/png"/>
  <Override PartName="/word/media/rId40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Deviously</w:t>
      </w:r>
      <w:r>
        <w:t xml:space="preserve"> </w:t>
      </w:r>
      <w:r>
        <w:t xml:space="preserve">Seeking</w:t>
      </w:r>
      <w:r>
        <w:t xml:space="preserve"> </w:t>
      </w:r>
      <w:r>
        <w:t xml:space="preserve">Duping</w:t>
      </w:r>
      <w:r>
        <w:t xml:space="preserve"> </w:t>
      </w:r>
      <w:r>
        <w:t xml:space="preserve">Delight</w:t>
      </w:r>
      <w:r>
        <w:t xml:space="preserve"> </w:t>
      </w:r>
      <w:r>
        <w:t xml:space="preserve">in</w:t>
      </w:r>
      <w:r>
        <w:t xml:space="preserve"> </w:t>
      </w:r>
      <w:r>
        <w:t xml:space="preserve">the</w:t>
      </w:r>
      <w:r>
        <w:t xml:space="preserve"> </w:t>
      </w:r>
      <w:r>
        <w:t xml:space="preserve">Darkness</w:t>
      </w:r>
    </w:p>
    <w:p>
      <w:pPr>
        <w:pStyle w:val="Subtitle"/>
      </w:pPr>
      <w:r>
        <w:t xml:space="preserve">Welcome</w:t>
      </w:r>
      <w:r>
        <w:t xml:space="preserve"> </w:t>
      </w:r>
      <w:r>
        <w:t xml:space="preserve">to</w:t>
      </w:r>
      <w:r>
        <w:t xml:space="preserve"> </w:t>
      </w:r>
      <w:r>
        <w:t xml:space="preserve">the</w:t>
      </w:r>
      <w:r>
        <w:t xml:space="preserve"> </w:t>
      </w:r>
      <w:r>
        <w:t xml:space="preserve">LittleMonkeyLab</w:t>
      </w:r>
    </w:p>
    <w:p>
      <w:pPr>
        <w:pStyle w:val="Author"/>
      </w:pPr>
      <w:r>
        <w:t xml:space="preserve">Dr</w:t>
      </w:r>
      <w:r>
        <w:t xml:space="preserve"> </w:t>
      </w:r>
      <w:r>
        <w:t xml:space="preserve">Gordon</w:t>
      </w:r>
      <w:r>
        <w:t xml:space="preserve"> </w:t>
      </w:r>
      <w:r>
        <w:t xml:space="preserve">Wright</w:t>
      </w:r>
      <w:r>
        <w:t xml:space="preserve"> </w:t>
      </w:r>
      <w:r>
        <w:t xml:space="preserve">aka</w:t>
      </w:r>
      <w:r>
        <w:t xml:space="preserve"> </w:t>
      </w:r>
      <w:r>
        <w:t xml:space="preserve">DrDeception</w:t>
      </w:r>
    </w:p>
    <w:bookmarkStart w:id="20" w:name="overview"/>
    <w:p>
      <w:pPr>
        <w:pStyle w:val="Heading1"/>
      </w:pPr>
      <w:r>
        <w:t xml:space="preserve">Overview</w:t>
      </w:r>
    </w:p>
    <w:p>
      <w:pPr>
        <w:pStyle w:val="FirstParagraph"/>
      </w:pPr>
      <w:r>
        <w:t xml:space="preserve">. . .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CC1914"/>
        </w:tblBorders>
        <w:tblCellMar>
          <w:left w:w="0" w:type="dxa"/>
          <w:right w:w="0" w:type="dxa"/>
        </w:tblCellMar>
        <w:tblInd w:w="164" w:type="dxa"/>
      </w:tblPr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BodyText"/>
            </w:pPr>
            <w:pPr>
              <w:spacing w:before="16" w:after="64"/>
            </w:pPr>
          </w:p>
          <w:p>
            <w:pPr>
              <w:pStyle w:val="BodyText"/>
            </w:pPr>
            <w:pPr>
              <w:spacing w:before="16" w:after="16"/>
            </w:pPr>
            <w:r>
              <w:t xml:space="preserve">As Module Coordinator of Y2 Research Methods - give some forward-looking</w:t>
            </w:r>
            <w:r>
              <w:t xml:space="preserve"> </w:t>
            </w:r>
            <w:r>
              <w:t xml:space="preserve">guidance!</w:t>
            </w:r>
          </w:p>
        </w:tc>
      </w:tr>
    </w:tbl>
    <w:p>
      <w:pPr>
        <w:pStyle w:val="BodyText"/>
      </w:pPr>
      <w:r>
        <w:t xml:space="preserve">. . .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FC5300"/>
        </w:tblBorders>
        <w:tblCellMar>
          <w:left w:w="0" w:type="dxa"/>
          <w:right w:w="0" w:type="dxa"/>
        </w:tblCellMar>
        <w:tblInd w:w="164" w:type="dxa"/>
      </w:tblPr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BodyText"/>
            </w:pPr>
            <w:pPr>
              <w:spacing w:before="16" w:after="64"/>
            </w:pPr>
          </w:p>
          <w:p>
            <w:pPr>
              <w:pStyle w:val="BodyText"/>
            </w:pPr>
            <w:pPr>
              <w:spacing w:before="16" w:after="16"/>
            </w:pPr>
            <w:r>
              <w:t xml:space="preserve">Do the</w:t>
            </w:r>
            <w:r>
              <w:t xml:space="preserve"> </w:t>
            </w:r>
            <w:r>
              <w:t xml:space="preserve">‘</w:t>
            </w:r>
            <w:r>
              <w:t xml:space="preserve">Lie of the Land</w:t>
            </w:r>
            <w:r>
              <w:t xml:space="preserve">’</w:t>
            </w:r>
            <w:r>
              <w:t xml:space="preserve"> </w:t>
            </w:r>
            <w:r>
              <w:t xml:space="preserve">survey - tap your deception expertise!</w:t>
            </w:r>
          </w:p>
        </w:tc>
      </w:tr>
    </w:tbl>
    <w:p>
      <w:pPr>
        <w:pStyle w:val="BodyText"/>
      </w:pPr>
      <w:r>
        <w:t xml:space="preserve">. . .</w:t>
      </w:r>
    </w:p>
    <w:p>
      <w:pPr>
        <w:pStyle w:val="BlockText"/>
      </w:pPr>
      <w:r>
        <w:t xml:space="preserve">BREAK - 10-15 mins</w:t>
      </w:r>
    </w:p>
    <w:p>
      <w:pPr>
        <w:pStyle w:val="FirstParagraph"/>
      </w:pPr>
      <w:r>
        <w:t xml:space="preserve">. . .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CC1914"/>
        </w:tblBorders>
        <w:tblCellMar>
          <w:left w:w="0" w:type="dxa"/>
          <w:right w:w="0" w:type="dxa"/>
        </w:tblCellMar>
        <w:tblInd w:w="164" w:type="dxa"/>
      </w:tblPr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BodyText"/>
            </w:pPr>
            <w:pPr>
              <w:spacing w:before="16" w:after="64"/>
            </w:pPr>
          </w:p>
          <w:p>
            <w:pPr>
              <w:pStyle w:val="BodyText"/>
            </w:pPr>
            <w:pPr>
              <w:spacing w:before="16" w:after="16"/>
            </w:pPr>
            <w:r>
              <w:t xml:space="preserve">A brief overview of my research</w:t>
            </w:r>
          </w:p>
        </w:tc>
      </w:tr>
    </w:tbl>
    <w:p>
      <w:pPr>
        <w:pStyle w:val="BodyText"/>
      </w:pPr>
      <w:r>
        <w:t xml:space="preserve">. . .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00A047"/>
        </w:tblBorders>
        <w:tblCellMar>
          <w:left w:w="0" w:type="dxa"/>
          <w:right w:w="0" w:type="dxa"/>
        </w:tblCellMar>
        <w:tblInd w:w="164" w:type="dxa"/>
      </w:tblPr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BodyText"/>
            </w:pPr>
            <w:pPr>
              <w:spacing w:before="16" w:after="64"/>
            </w:pPr>
          </w:p>
          <w:p>
            <w:pPr>
              <w:pStyle w:val="BodyText"/>
            </w:pPr>
            <w:pPr>
              <w:spacing w:before="16" w:after="16"/>
            </w:pPr>
            <w:r>
              <w:t xml:space="preserve">Today’s Target Paper</w:t>
            </w:r>
          </w:p>
        </w:tc>
      </w:tr>
    </w:tbl>
    <w:p>
      <w:pPr>
        <w:pStyle w:val="BodyText"/>
      </w:pPr>
      <w:r>
        <w:t xml:space="preserve">. . .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FC5300"/>
        </w:tblBorders>
        <w:tblCellMar>
          <w:left w:w="0" w:type="dxa"/>
          <w:right w:w="0" w:type="dxa"/>
        </w:tblCellMar>
        <w:tblInd w:w="164" w:type="dxa"/>
      </w:tblPr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BodyText"/>
            </w:pPr>
            <w:pPr>
              <w:spacing w:before="16" w:after="64"/>
            </w:pPr>
          </w:p>
          <w:p>
            <w:pPr>
              <w:pStyle w:val="BodyText"/>
            </w:pPr>
            <w:pPr>
              <w:spacing w:before="16" w:after="16"/>
            </w:pPr>
            <w:r>
              <w:t xml:space="preserve">Questions</w:t>
            </w:r>
            <w:r>
              <w:t xml:space="preserve"> </w:t>
            </w:r>
            <w:r>
              <w:rPr>
                <w:iCs/>
                <w:i/>
              </w:rPr>
              <w:t xml:space="preserve">(of which I hear you usually have many!)</w:t>
            </w:r>
          </w:p>
        </w:tc>
      </w:tr>
    </w:tbl>
    <w:bookmarkEnd w:id="20"/>
    <w:bookmarkStart w:id="30" w:name="Xb650ca3b3e7148e973a0d43964598742a5799f0"/>
    <w:p>
      <w:pPr>
        <w:pStyle w:val="Heading1"/>
      </w:pPr>
      <w:r>
        <w:rPr>
          <w:iCs/>
          <w:i/>
        </w:rPr>
        <w:t xml:space="preserve">From one Researcher to another… I mean YOU!</w:t>
      </w:r>
    </w:p>
    <w:bookmarkStart w:id="21" w:name="a-brief-introduction"/>
    <w:p>
      <w:pPr>
        <w:pStyle w:val="Heading2"/>
      </w:pPr>
      <w:r>
        <w:t xml:space="preserve">A brief introduction</w:t>
      </w:r>
    </w:p>
    <w:p>
      <w:pPr>
        <w:pStyle w:val="FirstParagraph"/>
      </w:pPr>
      <w:r>
        <w:t xml:space="preserve">Dr. Gordon Wright</w:t>
      </w:r>
    </w:p>
    <w:p>
      <w:pPr>
        <w:pStyle w:val="BodyText"/>
      </w:pPr>
      <w:r>
        <w:t xml:space="preserve">Lecturer in Psychology</w:t>
      </w:r>
    </w:p>
    <w:p>
      <w:pPr>
        <w:pStyle w:val="BodyText"/>
      </w:pPr>
      <w:r>
        <w:t xml:space="preserve">Module Coordinator - Y2 Research Methods</w:t>
      </w:r>
    </w:p>
    <w:p>
      <w:pPr>
        <w:pStyle w:val="BodyText"/>
      </w:pPr>
      <w:r>
        <w:t xml:space="preserve">g.wright@gold.ac.uk</w:t>
      </w:r>
    </w:p>
    <w:bookmarkEnd w:id="21"/>
    <w:bookmarkStart w:id="22" w:name="but-who-are-you"/>
    <w:p>
      <w:pPr>
        <w:pStyle w:val="Heading2"/>
      </w:pPr>
      <w:r>
        <w:t xml:space="preserve">But who are you?</w:t>
      </w:r>
    </w:p>
    <w:p>
      <w:pPr>
        <w:pStyle w:val="FirstParagraph"/>
      </w:pPr>
      <w:r>
        <w:t xml:space="preserve">. . .</w:t>
      </w:r>
    </w:p>
    <w:p>
      <w:pPr>
        <w:pStyle w:val="BodyText"/>
      </w:pPr>
      <w:r>
        <w:br/>
      </w:r>
      <w:r>
        <w:t xml:space="preserve">What do I need to know?</w:t>
      </w:r>
    </w:p>
    <w:p>
      <w:pPr>
        <w:pStyle w:val="BodyText"/>
      </w:pPr>
      <w:r>
        <w:t xml:space="preserve">. . .</w:t>
      </w:r>
    </w:p>
    <w:p>
      <w:pPr>
        <w:pStyle w:val="BodyText"/>
      </w:pPr>
      <w:r>
        <w:br/>
      </w:r>
      <w:r>
        <w:t xml:space="preserve">Why did you choose to study at Goldsmiths?</w:t>
      </w:r>
    </w:p>
    <w:p>
      <w:pPr>
        <w:pStyle w:val="BodyText"/>
      </w:pPr>
      <w:r>
        <w:t xml:space="preserve">. . .</w:t>
      </w:r>
    </w:p>
    <w:p>
      <w:pPr>
        <w:pStyle w:val="BodyText"/>
      </w:pPr>
      <w:r>
        <w:br/>
      </w:r>
      <w:r>
        <w:t xml:space="preserve">Why Psychology?</w:t>
      </w:r>
    </w:p>
    <w:bookmarkEnd w:id="22"/>
    <w:bookmarkStart w:id="23" w:name="why-does-that-matter-this-year"/>
    <w:p>
      <w:pPr>
        <w:pStyle w:val="Heading2"/>
      </w:pPr>
      <w:r>
        <w:t xml:space="preserve">Why does that matter this year?</w:t>
      </w:r>
    </w:p>
    <w:p>
      <w:pPr>
        <w:pStyle w:val="FirstParagraph"/>
      </w:pPr>
      <w:r>
        <w:t xml:space="preserve">. . .</w:t>
      </w:r>
    </w:p>
    <w:p>
      <w:pPr>
        <w:pStyle w:val="BodyText"/>
      </w:pPr>
      <w:r>
        <w:br/>
      </w:r>
      <w:r>
        <w:t xml:space="preserve">This module is designed to try to give you a glimpse of real</w:t>
      </w:r>
      <w:r>
        <w:t xml:space="preserve"> </w:t>
      </w:r>
      <w:r>
        <w:t xml:space="preserve">psychological research - and introduce some of the real challenges</w:t>
      </w:r>
    </w:p>
    <w:p>
      <w:pPr>
        <w:pStyle w:val="BodyText"/>
      </w:pPr>
      <w:r>
        <w:t xml:space="preserve">. . .</w:t>
      </w:r>
    </w:p>
    <w:p>
      <w:pPr>
        <w:pStyle w:val="BodyText"/>
      </w:pPr>
      <w:r>
        <w:br/>
      </w:r>
      <w:r>
        <w:rPr>
          <w:iCs/>
          <w:i/>
          <w:bCs/>
          <w:b/>
          <w:u w:val="single"/>
        </w:rPr>
        <w:t xml:space="preserve">PS51010C - Extended Essay</w:t>
      </w:r>
    </w:p>
    <w:p>
      <w:pPr>
        <w:numPr>
          <w:ilvl w:val="0"/>
          <w:numId w:val="1001"/>
        </w:numPr>
      </w:pPr>
      <w:r>
        <w:t xml:space="preserve">3000 words MAX</w:t>
      </w:r>
    </w:p>
    <w:p>
      <w:pPr>
        <w:numPr>
          <w:ilvl w:val="0"/>
          <w:numId w:val="1001"/>
        </w:numPr>
      </w:pPr>
      <w:r>
        <w:t xml:space="preserve">4 x Target Articles (Empirical from the last 3 years)</w:t>
      </w:r>
    </w:p>
    <w:p>
      <w:pPr>
        <w:numPr>
          <w:ilvl w:val="0"/>
          <w:numId w:val="1001"/>
        </w:numPr>
      </w:pPr>
      <w:r>
        <w:t xml:space="preserve">You choose your own topic!</w:t>
      </w:r>
    </w:p>
    <w:p>
      <w:pPr>
        <w:numPr>
          <w:ilvl w:val="0"/>
          <w:numId w:val="1001"/>
        </w:numPr>
      </w:pPr>
      <w:r>
        <w:t xml:space="preserve">Make sure to really delve into the</w:t>
      </w:r>
      <w:r>
        <w:t xml:space="preserve"> </w:t>
      </w:r>
      <w:r>
        <w:rPr>
          <w:bCs/>
          <w:b/>
        </w:rPr>
        <w:t xml:space="preserve">Methods</w:t>
      </w:r>
      <w:r>
        <w:t xml:space="preserve"> </w:t>
      </w:r>
      <w:r>
        <w:t xml:space="preserve">employed! Really</w:t>
      </w:r>
      <w:r>
        <w:t xml:space="preserve"> </w:t>
      </w:r>
      <w:r>
        <w:t xml:space="preserve">scrutinise the tasks!</w:t>
      </w:r>
    </w:p>
    <w:bookmarkEnd w:id="23"/>
    <w:bookmarkStart w:id="24" w:name="next-year"/>
    <w:p>
      <w:pPr>
        <w:pStyle w:val="Heading2"/>
      </w:pPr>
      <w:r>
        <w:t xml:space="preserve">Next year</w:t>
      </w:r>
    </w:p>
    <w:p>
      <w:pPr>
        <w:pStyle w:val="FirstParagraph"/>
      </w:pPr>
      <w:r>
        <w:t xml:space="preserve">. . .</w:t>
      </w:r>
    </w:p>
    <w:p>
      <w:pPr>
        <w:pStyle w:val="BodyText"/>
      </w:pPr>
      <w:r>
        <w:br/>
      </w:r>
      <w:r>
        <w:t xml:space="preserve">PS52007D Research Methods in Psychology (30 credits - 20 weeks)</w:t>
      </w:r>
    </w:p>
    <w:p>
      <w:pPr>
        <w:pStyle w:val="BodyText"/>
      </w:pPr>
      <w:r>
        <w:t xml:space="preserve">. . .</w:t>
      </w:r>
    </w:p>
    <w:p>
      <w:pPr>
        <w:pStyle w:val="BodyText"/>
      </w:pPr>
      <w:r>
        <w:br/>
      </w:r>
      <w:r>
        <w:t xml:space="preserve">Mini-Dissertation - Groups of 3/4 from within your Personal Tutor Group</w:t>
      </w:r>
    </w:p>
    <w:p>
      <w:pPr>
        <w:pStyle w:val="BodyText"/>
      </w:pPr>
      <w:r>
        <w:t xml:space="preserve">. . .</w:t>
      </w:r>
    </w:p>
    <w:p>
      <w:pPr>
        <w:pStyle w:val="BodyText"/>
      </w:pPr>
      <w:r>
        <w:br/>
      </w:r>
      <w:r>
        <w:t xml:space="preserve">A unique 2x2 design each - but a shared</w:t>
      </w:r>
      <w:r>
        <w:t xml:space="preserve"> </w:t>
      </w:r>
      <w:r>
        <w:t xml:space="preserve">design/development/data-collection</w:t>
      </w:r>
    </w:p>
    <w:bookmarkEnd w:id="24"/>
    <w:bookmarkStart w:id="25" w:name="an-example"/>
    <w:p>
      <w:pPr>
        <w:pStyle w:val="Heading2"/>
      </w:pPr>
      <w:r>
        <w:t xml:space="preserve">An example</w:t>
      </w:r>
    </w:p>
    <w:bookmarkEnd w:id="25"/>
    <w:bookmarkStart w:id="26" w:name="more-opportunities-next-year"/>
    <w:p>
      <w:pPr>
        <w:pStyle w:val="Heading2"/>
      </w:pPr>
      <w:r>
        <w:t xml:space="preserve">More opportunities next year</w:t>
      </w:r>
    </w:p>
    <w:p>
      <w:pPr>
        <w:pStyle w:val="FirstParagraph"/>
      </w:pPr>
      <w:r>
        <w:t xml:space="preserve">. . .</w:t>
      </w:r>
    </w:p>
    <w:p>
      <w:pPr>
        <w:pStyle w:val="BodyText"/>
      </w:pPr>
      <w:r>
        <w:t xml:space="preserve">Once you’ve started your Research Journey</w:t>
      </w:r>
      <w:r>
        <w:br/>
      </w:r>
      <w:r>
        <w:t xml:space="preserve">Summer Bursary Competition - a number of weeks of paid research</w:t>
      </w:r>
      <w:r>
        <w:t xml:space="preserve"> </w:t>
      </w:r>
      <w:r>
        <w:t xml:space="preserve">experience</w:t>
      </w:r>
    </w:p>
    <w:p>
      <w:pPr>
        <w:pStyle w:val="BodyText"/>
      </w:pPr>
      <w:r>
        <w:t xml:space="preserve">. . .</w:t>
      </w:r>
    </w:p>
    <w:bookmarkEnd w:id="26"/>
    <w:bookmarkStart w:id="27" w:name="final-year-dissertation"/>
    <w:p>
      <w:pPr>
        <w:pStyle w:val="Heading2"/>
      </w:pPr>
      <w:r>
        <w:t xml:space="preserve">Final Year Dissertation</w:t>
      </w:r>
    </w:p>
    <w:p>
      <w:pPr>
        <w:pStyle w:val="FirstParagraph"/>
      </w:pPr>
      <w:r>
        <w:t xml:space="preserve">. . .</w:t>
      </w:r>
    </w:p>
    <w:p>
      <w:pPr>
        <w:pStyle w:val="BodyText"/>
      </w:pPr>
      <w:r>
        <w:br/>
      </w:r>
      <w:r>
        <w:t xml:space="preserve">45 Credit Module - Independent Research Project</w:t>
      </w:r>
    </w:p>
    <w:p>
      <w:pPr>
        <w:pStyle w:val="BodyText"/>
      </w:pPr>
      <w:r>
        <w:t xml:space="preserve">. . .</w:t>
      </w:r>
    </w:p>
    <w:p>
      <w:pPr>
        <w:pStyle w:val="BodyText"/>
      </w:pPr>
      <w:r>
        <w:br/>
      </w:r>
      <w:r>
        <w:t xml:space="preserve">1:1 with a member of staff</w:t>
      </w:r>
    </w:p>
    <w:p>
      <w:pPr>
        <w:pStyle w:val="BodyText"/>
      </w:pPr>
      <w:r>
        <w:t xml:space="preserve">. . .</w:t>
      </w:r>
    </w:p>
    <w:p>
      <w:pPr>
        <w:pStyle w:val="BodyText"/>
      </w:pPr>
      <w:r>
        <w:br/>
      </w:r>
      <w:r>
        <w:t xml:space="preserve">Whatever topic you can agree on (excluding children/clinical/forensic</w:t>
      </w:r>
      <w:r>
        <w:t xml:space="preserve"> </w:t>
      </w:r>
      <w:r>
        <w:t xml:space="preserve">samples)</w:t>
      </w:r>
    </w:p>
    <w:bookmarkEnd w:id="27"/>
    <w:bookmarkStart w:id="28" w:name="for-the-aspiring-researcher"/>
    <w:p>
      <w:pPr>
        <w:pStyle w:val="Heading2"/>
      </w:pPr>
      <w:r>
        <w:t xml:space="preserve">For the aspiring researcher</w:t>
      </w:r>
    </w:p>
    <w:p>
      <w:pPr>
        <w:pStyle w:val="FirstParagraph"/>
      </w:pPr>
      <w:r>
        <w:t xml:space="preserve">. . .</w:t>
      </w:r>
    </w:p>
    <w:p>
      <w:pPr>
        <w:pStyle w:val="BodyText"/>
      </w:pPr>
      <w:r>
        <w:br/>
      </w:r>
      <w:r>
        <w:t xml:space="preserve">In December of your final year you can apply for a 1+3 funded MSc &amp; PhD</w:t>
      </w:r>
      <w:r>
        <w:t xml:space="preserve"> </w:t>
      </w:r>
      <w:r>
        <w:t xml:space="preserve">position</w:t>
      </w:r>
    </w:p>
    <w:bookmarkEnd w:id="28"/>
    <w:bookmarkStart w:id="29" w:name="X20618359ad411312737f13361353a31c8875a58"/>
    <w:p>
      <w:pPr>
        <w:pStyle w:val="Heading2"/>
      </w:pPr>
      <w:r>
        <w:t xml:space="preserve">Research opportunities available all the time. . .</w:t>
      </w:r>
    </w:p>
    <w:p>
      <w:pPr>
        <w:pStyle w:val="FirstParagraph"/>
      </w:pPr>
      <w:r>
        <w:t xml:space="preserve">. . .</w:t>
      </w:r>
    </w:p>
    <w:p>
      <w:pPr>
        <w:pStyle w:val="BodyText"/>
      </w:pPr>
      <w:r>
        <w:t xml:space="preserve">You are able to ask to join a lab or work with a member of staff at any</w:t>
      </w:r>
      <w:r>
        <w:t xml:space="preserve"> </w:t>
      </w:r>
      <w:r>
        <w:t xml:space="preserve">time</w:t>
      </w:r>
    </w:p>
    <w:p>
      <w:pPr>
        <w:pStyle w:val="BodyText"/>
      </w:pPr>
      <w:r>
        <w:t xml:space="preserve">. . .</w:t>
      </w:r>
    </w:p>
    <w:p>
      <w:pPr>
        <w:pStyle w:val="BodyText"/>
      </w:pPr>
      <w:r>
        <w:br/>
      </w:r>
      <w:r>
        <w:t xml:space="preserve">Some labs have regular meetings and are open to volunteers, some are</w:t>
      </w:r>
      <w:r>
        <w:t xml:space="preserve"> </w:t>
      </w:r>
      <w:r>
        <w:t xml:space="preserve">more informal or even work on a 1:1 basis</w:t>
      </w:r>
    </w:p>
    <w:p>
      <w:pPr>
        <w:pStyle w:val="BodyText"/>
      </w:pPr>
      <w:r>
        <w:t xml:space="preserve">. . .</w:t>
      </w:r>
    </w:p>
    <w:p>
      <w:pPr>
        <w:pStyle w:val="BodyText"/>
      </w:pPr>
      <w:r>
        <w:br/>
      </w:r>
      <w:r>
        <w:t xml:space="preserve">If you like the research somebody is doing, go and knock on their door!</w:t>
      </w:r>
    </w:p>
    <w:bookmarkEnd w:id="29"/>
    <w:bookmarkEnd w:id="30"/>
    <w:bookmarkStart w:id="51" w:name="tips-and-tricks"/>
    <w:p>
      <w:pPr>
        <w:pStyle w:val="Heading1"/>
      </w:pPr>
      <w:r>
        <w:t xml:space="preserve">Tips and Tricks</w:t>
      </w:r>
    </w:p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00A047"/>
        </w:tblBorders>
        <w:tblCellMar>
          <w:left w:w="0" w:type="dxa"/>
          <w:right w:w="0" w:type="dxa"/>
        </w:tblCellMar>
        <w:tblInd w:w="164" w:type="dxa"/>
      </w:tblPr>
      <w:tr>
        <w:trPr>
          <w:cantSplit/>
        </w:trPr>
        <w:tc>
          <w:tcPr>
            <w:tcMar>
              <w:left w:w="144" w:type="dxa"/>
              <w:right w:w="144" w:type="dxa"/>
            </w:tcMar>
          </w:tcPr>
          <w:p>
            <w:pPr>
              <w:pStyle w:val="FirstParagraph"/>
            </w:pPr>
            <w:pPr>
              <w:spacing w:before="0" w:after="8"/>
              <w:jc w:val="center"/>
            </w:pPr>
            <w:r>
              <w:drawing>
                <wp:inline>
                  <wp:extent cx="152400" cy="152400"/>
                  <wp:effectExtent b="0" l="0" r="0" t="0"/>
                  <wp:docPr descr="" title="" id="32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tip.png" id="3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BodyText"/>
            </w:pPr>
            <w:pPr>
              <w:spacing w:before="16" w:after="64"/>
            </w:pPr>
            <w:r>
              <w:rPr>
                <w:bCs/>
                <w:b/>
              </w:rPr>
              <w:t xml:space="preserve">Tip Number 1</w:t>
            </w:r>
          </w:p>
          <w:p>
            <w:pPr>
              <w:pStyle w:val="BodyText"/>
            </w:pPr>
            <w:pPr>
              <w:spacing w:before="16"/>
            </w:pPr>
            <w:r>
              <w:t xml:space="preserve">Start poking around in Academic Journals.</w:t>
            </w:r>
          </w:p>
          <w:p>
            <w:pPr>
              <w:pStyle w:val="BodyText"/>
            </w:pPr>
            <w:r>
              <w:t xml:space="preserve">My favourite way to do this is the app Browzine</w:t>
            </w:r>
          </w:p>
          <w:p>
            <w:pPr>
              <w:pStyle w:val="BodyText"/>
            </w:pPr>
            <w:r>
              <w:t xml:space="preserve">on your computer AND your phone</w:t>
            </w:r>
          </w:p>
          <w:p>
            <w:pPr>
              <w:pStyle w:val="BodyText"/>
            </w:pPr>
            <w:pPr>
              <w:spacing w:after="16"/>
            </w:pPr>
            <w:hyperlink r:id="rId34">
              <w:r>
                <w:rPr>
                  <w:rStyle w:val="Hyperlink"/>
                </w:rPr>
                <w:t xml:space="preserve">Browzine via the</w:t>
              </w:r>
              <w:r>
                <w:rPr>
                  <w:rStyle w:val="Hyperlink"/>
                </w:rPr>
                <w:t xml:space="preserve"> </w:t>
              </w:r>
              <w:r>
                <w:rPr>
                  <w:rStyle w:val="Hyperlink"/>
                </w:rPr>
                <w:t xml:space="preserve">Library</w:t>
              </w:r>
            </w:hyperlink>
          </w:p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00A047"/>
        </w:tblBorders>
        <w:tblCellMar>
          <w:left w:w="0" w:type="dxa"/>
          <w:right w:w="0" w:type="dxa"/>
        </w:tblCellMar>
        <w:tblInd w:w="164" w:type="dxa"/>
      </w:tblPr>
      <w:tr>
        <w:trPr>
          <w:cantSplit/>
        </w:trPr>
        <w:tc>
          <w:tcPr>
            <w:tcMar>
              <w:left w:w="144" w:type="dxa"/>
              <w:right w:w="144" w:type="dxa"/>
            </w:tcMar>
          </w:tcPr>
          <w:p>
            <w:pPr>
              <w:pStyle w:val="FirstParagraph"/>
            </w:pPr>
            <w:pPr>
              <w:spacing w:before="0" w:after="8"/>
              <w:jc w:val="center"/>
            </w:pPr>
            <w:r>
              <w:drawing>
                <wp:inline>
                  <wp:extent cx="152400" cy="152400"/>
                  <wp:effectExtent b="0" l="0" r="0" t="0"/>
                  <wp:docPr descr="" title="" id="35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tip.png" id="3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BodyText"/>
            </w:pPr>
            <w:pPr>
              <w:spacing w:before="16" w:after="64"/>
            </w:pPr>
            <w:r>
              <w:rPr>
                <w:bCs/>
                <w:b/>
              </w:rPr>
              <w:t xml:space="preserve">Tip Number 2</w:t>
            </w:r>
          </w:p>
          <w:p>
            <w:pPr>
              <w:pStyle w:val="BodyText"/>
            </w:pPr>
            <w:pPr>
              <w:spacing w:before="16"/>
            </w:pPr>
            <w:r>
              <w:t xml:space="preserve">Get to grips with the Library</w:t>
            </w:r>
          </w:p>
          <w:p>
            <w:pPr>
              <w:pStyle w:val="BodyText"/>
            </w:pPr>
            <w:pPr>
              <w:spacing w:after="16"/>
            </w:pPr>
            <w:hyperlink r:id="rId37">
              <w:r>
                <w:rPr>
                  <w:rStyle w:val="Hyperlink"/>
                </w:rPr>
                <w:t xml:space="preserve">https://libguides.gold.ac.uk/psychology</w:t>
              </w:r>
            </w:hyperlink>
          </w:p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00A047"/>
        </w:tblBorders>
        <w:tblCellMar>
          <w:left w:w="0" w:type="dxa"/>
          <w:right w:w="0" w:type="dxa"/>
        </w:tblCellMar>
        <w:tblInd w:w="164" w:type="dxa"/>
      </w:tblPr>
      <w:tr>
        <w:trPr>
          <w:cantSplit/>
        </w:trPr>
        <w:tc>
          <w:tcPr>
            <w:tcMar>
              <w:left w:w="144" w:type="dxa"/>
              <w:right w:w="144" w:type="dxa"/>
            </w:tcMar>
          </w:tcPr>
          <w:p>
            <w:pPr>
              <w:pStyle w:val="FirstParagraph"/>
            </w:pPr>
            <w:pPr>
              <w:spacing w:before="0" w:after="8"/>
              <w:jc w:val="center"/>
            </w:pPr>
            <w:r>
              <w:drawing>
                <wp:inline>
                  <wp:extent cx="152400" cy="152400"/>
                  <wp:effectExtent b="0" l="0" r="0" t="0"/>
                  <wp:docPr descr="" title="" id="38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tip.png" id="3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BodyText"/>
            </w:pPr>
            <w:pPr>
              <w:spacing w:before="16" w:after="64"/>
            </w:pPr>
            <w:r>
              <w:rPr>
                <w:bCs/>
                <w:b/>
              </w:rPr>
              <w:t xml:space="preserve">Tip Number 3</w:t>
            </w:r>
          </w:p>
          <w:p>
            <w:pPr>
              <w:pStyle w:val="BodyText"/>
            </w:pPr>
            <w:pPr>
              <w:spacing w:before="16"/>
            </w:pPr>
            <w:r>
              <w:t xml:space="preserve">Make Google Scholar your own</w:t>
            </w:r>
          </w:p>
          <w:p>
            <w:pPr>
              <w:pStyle w:val="BodyText"/>
            </w:pPr>
            <w:r>
              <w:drawing>
                <wp:inline>
                  <wp:extent cx="5943600" cy="2255779"/>
                  <wp:effectExtent b="0" l="0" r="0" t="0"/>
                  <wp:docPr descr="" title="" id="41" name="Picture"/>
                  <a:graphic>
                    <a:graphicData uri="http://schemas.openxmlformats.org/drawingml/2006/picture">
                      <pic:pic>
                        <pic:nvPicPr>
                          <pic:cNvPr descr="images/paste-E9441F3F.png" id="4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255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BodyText"/>
            </w:pPr>
            <w:pPr>
              <w:spacing w:after="16"/>
            </w:pPr>
            <w:r>
              <w:drawing>
                <wp:inline>
                  <wp:extent cx="5943600" cy="902825"/>
                  <wp:effectExtent b="0" l="0" r="0" t="0"/>
                  <wp:docPr descr="" title="" id="44" name="Picture"/>
                  <a:graphic>
                    <a:graphicData uri="http://schemas.openxmlformats.org/drawingml/2006/picture">
                      <pic:pic>
                        <pic:nvPicPr>
                          <pic:cNvPr descr="images/paste-932C9782.png" id="4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902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00A047"/>
        </w:tblBorders>
        <w:tblCellMar>
          <w:left w:w="0" w:type="dxa"/>
          <w:right w:w="0" w:type="dxa"/>
        </w:tblCellMar>
        <w:tblInd w:w="164" w:type="dxa"/>
      </w:tblPr>
      <w:tr>
        <w:trPr>
          <w:cantSplit/>
        </w:trPr>
        <w:tc>
          <w:tcPr>
            <w:tcMar>
              <w:left w:w="144" w:type="dxa"/>
              <w:right w:w="144" w:type="dxa"/>
            </w:tcMar>
          </w:tcPr>
          <w:p>
            <w:pPr>
              <w:pStyle w:val="FirstParagraph"/>
            </w:pPr>
            <w:pPr>
              <w:spacing w:before="0" w:after="8"/>
              <w:jc w:val="center"/>
            </w:pPr>
            <w:r>
              <w:drawing>
                <wp:inline>
                  <wp:extent cx="152400" cy="152400"/>
                  <wp:effectExtent b="0" l="0" r="0" t="0"/>
                  <wp:docPr descr="" title="" id="46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tip.png" id="4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BodyText"/>
            </w:pPr>
            <w:pPr>
              <w:spacing w:before="16" w:after="64"/>
            </w:pPr>
            <w:r>
              <w:rPr>
                <w:bCs/>
                <w:b/>
              </w:rPr>
              <w:t xml:space="preserve">Tip Number 4</w:t>
            </w:r>
          </w:p>
          <w:p>
            <w:pPr>
              <w:pStyle w:val="BodyText"/>
            </w:pPr>
            <w:pPr>
              <w:spacing w:before="16"/>
            </w:pPr>
            <w:r>
              <w:t xml:space="preserve">Strategic Searching &amp; Literature Management</w:t>
            </w:r>
          </w:p>
          <w:p>
            <w:pPr>
              <w:pStyle w:val="BodyText"/>
            </w:pPr>
            <w:hyperlink r:id="rId48">
              <w:r>
                <w:rPr>
                  <w:rStyle w:val="Hyperlink"/>
                </w:rPr>
                <w:t xml:space="preserve">ResearchRabbit.ai</w:t>
              </w:r>
            </w:hyperlink>
            <w:r>
              <w:t xml:space="preserve"> </w:t>
            </w:r>
            <w:r>
              <w:t xml:space="preserve">and</w:t>
            </w:r>
            <w:r>
              <w:t xml:space="preserve"> </w:t>
            </w:r>
            <w:hyperlink r:id="rId49">
              <w:r>
                <w:rPr>
                  <w:rStyle w:val="Hyperlink"/>
                </w:rPr>
                <w:t xml:space="preserve">Zotero</w:t>
              </w:r>
            </w:hyperlink>
          </w:p>
          <w:p>
            <w:pPr>
              <w:pStyle w:val="BodyText"/>
            </w:pPr>
            <w:r>
              <w:t xml:space="preserve">Always keep your eyes open for</w:t>
            </w:r>
          </w:p>
          <w:p>
            <w:pPr>
              <w:pStyle w:val="BodyText"/>
            </w:pPr>
            <w:hyperlink r:id="rId50">
              <w:r>
                <w:rPr>
                  <w:rStyle w:val="Hyperlink"/>
                </w:rPr>
                <w:t xml:space="preserve">Annual Reviews of</w:t>
              </w:r>
              <w:r>
                <w:rPr>
                  <w:rStyle w:val="Hyperlink"/>
                </w:rPr>
                <w:t xml:space="preserve"> </w:t>
              </w:r>
              <w:r>
                <w:rPr>
                  <w:rStyle w:val="Hyperlink"/>
                </w:rPr>
                <w:t xml:space="preserve">Psychology</w:t>
              </w:r>
            </w:hyperlink>
          </w:p>
          <w:p>
            <w:pPr>
              <w:pStyle w:val="BodyText"/>
            </w:pPr>
            <w:pPr>
              <w:spacing w:after="16"/>
            </w:pPr>
            <w:r>
              <w:t xml:space="preserve">Systematic Reviews and Meta-Analyses (Google Advanced Search!)</w:t>
            </w:r>
          </w:p>
        </w:tc>
      </w:tr>
    </w:tbl>
    <w:p>
      <w:r>
        <w:pict>
          <v:rect style="width:0;height:1.5pt" o:hralign="center" o:hrstd="t" o:hr="t"/>
        </w:pict>
      </w:r>
    </w:p>
    <w:bookmarkEnd w:id="51"/>
    <w:bookmarkStart w:id="54" w:name="lets-get-going"/>
    <w:p>
      <w:pPr>
        <w:pStyle w:val="Heading1"/>
      </w:pPr>
      <w:r>
        <w:t xml:space="preserve">Let’s get going!</w:t>
      </w:r>
    </w:p>
    <w:p>
      <w:pPr>
        <w:pStyle w:val="FirstParagraph"/>
      </w:pPr>
      <w:r>
        <w:t xml:space="preserve">The link to our study for today is available on the VLE. It’s called the</w:t>
      </w:r>
      <w:r>
        <w:t xml:space="preserve"> </w:t>
      </w:r>
      <w:r>
        <w:t xml:space="preserve">‘</w:t>
      </w:r>
      <w:r>
        <w:t xml:space="preserve">Lie of the Land</w:t>
      </w:r>
      <w:r>
        <w:t xml:space="preserve">’</w:t>
      </w:r>
      <w:r>
        <w:t xml:space="preserve"> </w:t>
      </w:r>
      <w:r>
        <w:t xml:space="preserve">study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2.5 Credits available today/this week</w:t>
      </w:r>
    </w:p>
    <w:bookmarkStart w:id="53" w:name="the-study-link"/>
    <w:p>
      <w:pPr>
        <w:pStyle w:val="Heading2"/>
      </w:pPr>
      <w:r>
        <w:t xml:space="preserve">The study link</w:t>
      </w:r>
    </w:p>
    <w:p>
      <w:pPr>
        <w:pStyle w:val="FirstParagraph"/>
      </w:pPr>
      <w:hyperlink r:id="rId52">
        <w:r>
          <w:rPr>
            <w:rStyle w:val="Hyperlink"/>
          </w:rPr>
          <w:t xml:space="preserve">https://goldpsych.eu.qualtrics.com/jfe/form/SV_ebMllxwNTfXHXRX</w:t>
        </w:r>
      </w:hyperlink>
    </w:p>
    <w:bookmarkEnd w:id="53"/>
    <w:bookmarkEnd w:id="54"/>
    <w:bookmarkStart w:id="55" w:name="break"/>
    <w:p>
      <w:pPr>
        <w:pStyle w:val="Heading1"/>
      </w:pPr>
      <w:r>
        <w:t xml:space="preserve">BREAK</w:t>
      </w:r>
    </w:p>
    <w:bookmarkEnd w:id="55"/>
    <w:bookmarkStart w:id="117" w:name="littlemonkeylab"/>
    <w:p>
      <w:pPr>
        <w:pStyle w:val="Heading1"/>
      </w:pPr>
      <w:r>
        <w:t xml:space="preserve">LittleMonkeyLab</w:t>
      </w:r>
    </w:p>
    <w:tbl>
      <w:tblPr>
        <w:tblStyle w:val="Table"/>
        <w:tblW w:type="pct" w:w="5000"/>
        <w:tblLook w:firstRow="0" w:lastRow="0" w:firstColumn="0" w:lastColumn="0" w:noHBand="0" w:noVBand="0" w:val="0000"/>
        <w:jc w:val="start"/>
      </w:tblPr>
      <w:tblGrid>
        <w:gridCol w:w="7920"/>
      </w:tblGrid>
      <w:tr>
        <w:tc>
          <w:tcPr/>
          <w:p>
            <w:pPr>
              <w:pStyle w:val="Compact"/>
              <w:jc w:val="left"/>
            </w:pPr>
            <w:r>
              <w:t xml:space="preserve">## Some easy research!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rPr>
                <w:rStyle w:val="VerbatimChar"/>
              </w:rPr>
              <w:t xml:space="preserve">{=html} &lt;iframe width="1280" height="720" src="https://learningonscreen.ac.uk/ondemand/embed/prog/11ED256E?bcast=127465838" title="Horizon: The Honesty Experiment" frameborder="0" allow="accelerometer; autoplay; clipboard-write; encrypted-media; gyroscope; picture-in-picture" allowfullscreen&gt;&lt;/iframe&gt;</w:t>
            </w:r>
            <w:r>
              <w:t xml:space="preserve"> </w:t>
            </w:r>
            <w:r>
              <w:t xml:space="preserve">##</w:t>
            </w:r>
            <w:r>
              <w:t xml:space="preserve"> </w:t>
            </w:r>
            <w:hyperlink r:id="rId56">
              <w:r>
                <w:rPr>
                  <w:rStyle w:val="Hyperlink"/>
                </w:rPr>
                <w:t xml:space="preserve">BBC Horizon: The Honesty Experiment</w:t>
              </w:r>
            </w:hyperlink>
          </w:p>
        </w:tc>
      </w:tr>
      <w:tr>
        <w:tc>
          <w:tcPr/>
          <w:p>
            <w:pPr>
              <w:pStyle w:val="Compact"/>
              <w:jc w:val="left"/>
            </w:pPr>
            <w:r>
              <w:drawing>
                <wp:inline>
                  <wp:extent cx="5943600" cy="2361519"/>
                  <wp:effectExtent b="0" l="0" r="0" t="0"/>
                  <wp:docPr descr="" title="" id="58" name="Picture"/>
                  <a:graphic>
                    <a:graphicData uri="http://schemas.openxmlformats.org/drawingml/2006/picture">
                      <pic:pic>
                        <pic:nvPicPr>
                          <pic:cNvPr descr="images/paste-ABF42C39.png" id="5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361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BodyText"/>
      </w:pPr>
      <w:r>
        <w:drawing>
          <wp:inline>
            <wp:extent cx="5943600" cy="3179134"/>
            <wp:effectExtent b="0" l="0" r="0" t="0"/>
            <wp:docPr descr="" title="" id="61" name="Picture"/>
            <a:graphic>
              <a:graphicData uri="http://schemas.openxmlformats.org/drawingml/2006/picture">
                <pic:pic>
                  <pic:nvPicPr>
                    <pic:cNvPr descr="images/paste-6B93028F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91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Start w:id="66" w:name="so-why-do-people-lie-levine2010d"/>
    <w:p>
      <w:pPr>
        <w:pStyle w:val="Heading2"/>
      </w:pPr>
      <w:r>
        <w:t xml:space="preserve">So why do people lie?</w:t>
      </w:r>
      <w:r>
        <w:t xml:space="preserve"> </w:t>
      </w:r>
      <w:r>
        <w:t xml:space="preserve">Levine et al. (2010)</w:t>
      </w:r>
    </w:p>
    <w:p>
      <w:pPr>
        <w:pStyle w:val="FirstParagraph"/>
      </w:pPr>
      <w:r>
        <w:drawing>
          <wp:inline>
            <wp:extent cx="5943600" cy="4185992"/>
            <wp:effectExtent b="0" l="0" r="0" t="0"/>
            <wp:docPr descr="" title="" id="64" name="Picture"/>
            <a:graphic>
              <a:graphicData uri="http://schemas.openxmlformats.org/drawingml/2006/picture">
                <pic:pic>
                  <pic:nvPicPr>
                    <pic:cNvPr descr="images/paste-D0937F91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59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6"/>
    <w:bookmarkStart w:id="67" w:name="it-aint-that-bad-really"/>
    <w:p>
      <w:pPr>
        <w:pStyle w:val="Heading2"/>
      </w:pPr>
      <w:r>
        <w:t xml:space="preserve">It ain’t that bad really!</w:t>
      </w:r>
    </w:p>
    <w:p>
      <w:pPr>
        <w:pStyle w:val="FirstParagraph"/>
      </w:pPr>
      <w:r>
        <w:t xml:space="preserve">Deception frequency is significantly correlated to neocortical volume</w:t>
      </w:r>
      <w:r>
        <w:t xml:space="preserve"> </w:t>
      </w:r>
      <w:r>
        <w:t xml:space="preserve">across species</w:t>
      </w:r>
      <w:r>
        <w:t xml:space="preserve"> </w:t>
      </w:r>
      <w:r>
        <w:t xml:space="preserve">R. W. Byrne &amp; Corp (2004)</w:t>
      </w:r>
      <w:r>
        <w:t xml:space="preserve">.</w:t>
      </w:r>
    </w:p>
    <w:p>
      <w:pPr>
        <w:pStyle w:val="BodyText"/>
      </w:pPr>
      <w:r>
        <w:t xml:space="preserve">. . .</w:t>
      </w:r>
    </w:p>
    <w:p>
      <w:pPr>
        <w:pStyle w:val="BodyText"/>
      </w:pPr>
      <w:r>
        <w:t xml:space="preserve">Evolution selects for more and more effective strategies of achieving</w:t>
      </w:r>
      <w:r>
        <w:t xml:space="preserve"> </w:t>
      </w:r>
      <w:r>
        <w:t xml:space="preserve">social success (including deception, manipulation, alliance formation,</w:t>
      </w:r>
      <w:r>
        <w:t xml:space="preserve"> </w:t>
      </w:r>
      <w:r>
        <w:t xml:space="preserve">exploitation of the expertise of others, etc.)</w:t>
      </w:r>
    </w:p>
    <w:p>
      <w:pPr>
        <w:pStyle w:val="BodyText"/>
      </w:pPr>
      <w:r>
        <w:t xml:space="preserve">. . .</w:t>
      </w:r>
    </w:p>
    <w:p>
      <w:pPr>
        <w:pStyle w:val="BodyText"/>
      </w:pPr>
      <w:r>
        <w:t xml:space="preserve">And for the ability to learn and use such strategies.</w:t>
      </w:r>
    </w:p>
    <w:p>
      <w:pPr>
        <w:pStyle w:val="BodyText"/>
      </w:pPr>
      <w:r>
        <w:t xml:space="preserve">. . .</w:t>
      </w:r>
    </w:p>
    <w:p>
      <w:pPr>
        <w:pStyle w:val="BodyText"/>
      </w:pPr>
      <w:r>
        <w:t xml:space="preserve">Social success translates into reproductive success!</w:t>
      </w:r>
    </w:p>
    <w:bookmarkEnd w:id="67"/>
    <w:bookmarkStart w:id="68" w:name="monkey-business-see-shultz2022"/>
    <w:p>
      <w:pPr>
        <w:pStyle w:val="Heading2"/>
      </w:pPr>
      <w:r>
        <w:t xml:space="preserve">Monkey Business see</w:t>
      </w:r>
      <w:r>
        <w:t xml:space="preserve"> </w:t>
      </w:r>
      <w:r>
        <w:t xml:space="preserve">Shultz &amp; Dunbar (2022)</w:t>
      </w:r>
    </w:p>
    <w:p>
      <w:pPr>
        <w:pStyle w:val="FirstParagraph"/>
      </w:pPr>
      <w:r>
        <w:t xml:space="preserve">. . .</w:t>
      </w:r>
    </w:p>
    <w:p>
      <w:pPr>
        <w:pStyle w:val="BodyText"/>
      </w:pPr>
      <w:r>
        <w:br/>
      </w:r>
      <w:r>
        <w:t xml:space="preserve">Observations of non-human behaviour of the type led scientists to</w:t>
      </w:r>
      <w:r>
        <w:t xml:space="preserve"> </w:t>
      </w:r>
      <w:r>
        <w:t xml:space="preserve">suggest a positive relationship between brain size and social group</w:t>
      </w:r>
      <w:r>
        <w:t xml:space="preserve"> </w:t>
      </w:r>
      <w:r>
        <w:t xml:space="preserve">size.</w:t>
      </w:r>
    </w:p>
    <w:p>
      <w:pPr>
        <w:pStyle w:val="BodyText"/>
      </w:pPr>
      <w:r>
        <w:t xml:space="preserve">. . .</w:t>
      </w:r>
    </w:p>
    <w:p>
      <w:pPr>
        <w:pStyle w:val="BodyText"/>
      </w:pPr>
      <w:r>
        <w:br/>
      </w:r>
      <w:r>
        <w:t xml:space="preserve">A bigger brain seems to be found in more complex social environments.</w:t>
      </w:r>
      <w:r>
        <w:t xml:space="preserve"> </w:t>
      </w:r>
      <w:r>
        <w:t xml:space="preserve">But bigger brains are costly.</w:t>
      </w:r>
    </w:p>
    <w:p>
      <w:pPr>
        <w:pStyle w:val="BodyText"/>
      </w:pPr>
      <w:r>
        <w:t xml:space="preserve">. . .</w:t>
      </w:r>
    </w:p>
    <w:p>
      <w:pPr>
        <w:pStyle w:val="BodyText"/>
      </w:pPr>
      <w:r>
        <w:br/>
      </w:r>
      <w:r>
        <w:t xml:space="preserve">There has to be a benefit to carrying around this big brain.</w:t>
      </w:r>
    </w:p>
    <w:bookmarkEnd w:id="68"/>
    <w:bookmarkStart w:id="69" w:name="X126ee92e9aaf660538d66773b26ab7b1fa3573f"/>
    <w:p>
      <w:pPr>
        <w:pStyle w:val="Heading2"/>
      </w:pPr>
      <w:r>
        <w:t xml:space="preserve">The dynamic social environment see</w:t>
      </w:r>
      <w:r>
        <w:t xml:space="preserve"> </w:t>
      </w:r>
      <w:r>
        <w:t xml:space="preserve">Whiten (2018)</w:t>
      </w:r>
    </w:p>
    <w:p>
      <w:pPr>
        <w:pStyle w:val="FirstParagraph"/>
      </w:pPr>
      <w:r>
        <w:t xml:space="preserve">. . .</w:t>
      </w:r>
      <w:r>
        <w:br/>
      </w:r>
      <w:r>
        <w:t xml:space="preserve">The social world is very complex and the characters in this social world</w:t>
      </w:r>
      <w:r>
        <w:t xml:space="preserve"> </w:t>
      </w:r>
      <w:r>
        <w:t xml:space="preserve">are difficult to predict.</w:t>
      </w:r>
    </w:p>
    <w:p>
      <w:pPr>
        <w:pStyle w:val="BodyText"/>
      </w:pPr>
      <w:r>
        <w:t xml:space="preserve">. . .</w:t>
      </w:r>
      <w:r>
        <w:br/>
      </w:r>
      <w:r>
        <w:t xml:space="preserve">We usually operate within a status hierarchy which predetermines our</w:t>
      </w:r>
      <w:r>
        <w:t xml:space="preserve"> </w:t>
      </w:r>
      <w:r>
        <w:t xml:space="preserve">opportunities. Think of our cheeky little monkey. What did he want?</w:t>
      </w:r>
    </w:p>
    <w:p>
      <w:pPr>
        <w:numPr>
          <w:ilvl w:val="0"/>
          <w:numId w:val="1002"/>
        </w:numPr>
        <w:pStyle w:val="Compact"/>
      </w:pPr>
      <w:r>
        <w:t xml:space="preserve">Access to food</w:t>
      </w:r>
    </w:p>
    <w:p>
      <w:pPr>
        <w:numPr>
          <w:ilvl w:val="0"/>
          <w:numId w:val="1002"/>
        </w:numPr>
        <w:pStyle w:val="Compact"/>
      </w:pPr>
      <w:r>
        <w:t xml:space="preserve">Access to shelter</w:t>
      </w:r>
    </w:p>
    <w:p>
      <w:pPr>
        <w:numPr>
          <w:ilvl w:val="0"/>
          <w:numId w:val="1002"/>
        </w:numPr>
        <w:pStyle w:val="Compact"/>
      </w:pPr>
      <w:r>
        <w:t xml:space="preserve">Access to mates</w:t>
      </w:r>
    </w:p>
    <w:p>
      <w:pPr>
        <w:numPr>
          <w:ilvl w:val="0"/>
          <w:numId w:val="1002"/>
        </w:numPr>
        <w:pStyle w:val="Compact"/>
      </w:pPr>
      <w:r>
        <w:t xml:space="preserve">Safety and Security of self and offspring</w:t>
      </w:r>
    </w:p>
    <w:p>
      <w:pPr>
        <w:pStyle w:val="FirstParagraph"/>
      </w:pPr>
      <w:r>
        <w:t xml:space="preserve">Navigating the hierarchy successfully requires cooperation and</w:t>
      </w:r>
      <w:r>
        <w:t xml:space="preserve"> </w:t>
      </w:r>
      <w:r>
        <w:t xml:space="preserve">competition.</w:t>
      </w:r>
    </w:p>
    <w:bookmarkEnd w:id="69"/>
    <w:bookmarkStart w:id="70" w:name="X41e3a790e2a35fcac4b6ae2a83fb10a8be88c14"/>
    <w:p>
      <w:pPr>
        <w:pStyle w:val="Heading2"/>
      </w:pPr>
      <w:r>
        <w:t xml:space="preserve">The Machiavellian Intelligence Hypothesis (</w:t>
      </w:r>
      <w:r>
        <w:t xml:space="preserve">R. Byrne (2018)</w:t>
      </w:r>
      <w:r>
        <w:t xml:space="preserve">)</w:t>
      </w:r>
    </w:p>
    <w:p>
      <w:pPr>
        <w:pStyle w:val="FirstParagraph"/>
      </w:pPr>
      <w:r>
        <w:t xml:space="preserve">The Machiavellian Intelligence Hypothesis posits that social demands</w:t>
      </w:r>
      <w:r>
        <w:t xml:space="preserve"> </w:t>
      </w:r>
      <w:r>
        <w:t xml:space="preserve">have driven the evolution of the cognitive facilities humans employ to</w:t>
      </w:r>
      <w:r>
        <w:t xml:space="preserve"> </w:t>
      </w:r>
      <w:r>
        <w:t xml:space="preserve">navigate their social domain.</w:t>
      </w:r>
    </w:p>
    <w:p>
      <w:pPr>
        <w:pStyle w:val="BodyText"/>
      </w:pPr>
      <w:r>
        <w:t xml:space="preserve">‘</w:t>
      </w:r>
      <w:r>
        <w:t xml:space="preserve">Machiavellian</w:t>
      </w:r>
      <w:r>
        <w:t xml:space="preserve">’</w:t>
      </w:r>
      <w:r>
        <w:t xml:space="preserve"> </w:t>
      </w:r>
      <w:r>
        <w:t xml:space="preserve">strategies, such as deception, interpersonal</w:t>
      </w:r>
      <w:r>
        <w:t xml:space="preserve"> </w:t>
      </w:r>
      <w:r>
        <w:t xml:space="preserve">manipulation, cooperation, and alliance formation allow individuals to</w:t>
      </w:r>
      <w:r>
        <w:t xml:space="preserve"> </w:t>
      </w:r>
      <w:r>
        <w:t xml:space="preserve">achieve higher social and reproductive success.</w:t>
      </w:r>
    </w:p>
    <w:p>
      <w:pPr>
        <w:pStyle w:val="BodyText"/>
      </w:pPr>
      <w:r>
        <w:t xml:space="preserve">. . .</w:t>
      </w:r>
      <w:r>
        <w:br/>
      </w:r>
    </w:p>
    <w:p>
      <w:pPr>
        <w:pStyle w:val="BodyText"/>
      </w:pPr>
      <w:r>
        <w:t xml:space="preserve">Maybe it would help to be a bit more</w:t>
      </w:r>
      <w:r>
        <w:t xml:space="preserve"> </w:t>
      </w:r>
      <w:r>
        <w:t xml:space="preserve">“</w:t>
      </w:r>
      <w:r>
        <w:t xml:space="preserve">Machiavellian</w:t>
      </w:r>
      <w:r>
        <w:t xml:space="preserve">”</w:t>
      </w:r>
      <w:r>
        <w:t xml:space="preserve">?</w:t>
      </w:r>
    </w:p>
    <w:bookmarkEnd w:id="70"/>
    <w:bookmarkStart w:id="74" w:name="Xbd6c678dab623e9ff990986669cc7ac2e92bcf7"/>
    <w:p>
      <w:pPr>
        <w:pStyle w:val="Heading2"/>
      </w:pPr>
      <w:r>
        <w:t xml:space="preserve">But how can we possibly measure</w:t>
      </w:r>
      <w:r>
        <w:t xml:space="preserve"> </w:t>
      </w:r>
      <w:r>
        <w:t xml:space="preserve">‘</w:t>
      </w:r>
      <w:r>
        <w:t xml:space="preserve">Lie Frequency</w:t>
      </w:r>
      <w:r>
        <w:t xml:space="preserve">’</w:t>
      </w:r>
      <w:r>
        <w:t xml:space="preserve">?</w:t>
      </w:r>
    </w:p>
    <w:p>
      <w:pPr>
        <w:pStyle w:val="FirstParagraph"/>
      </w:pPr>
      <w:r>
        <w:t xml:space="preserve">Self- or other-report</w:t>
      </w:r>
    </w:p>
    <w:p>
      <w:pPr>
        <w:pStyle w:val="BodyText"/>
      </w:pPr>
      <w:r>
        <w:t xml:space="preserve">Diary study (or similar)</w:t>
      </w:r>
    </w:p>
    <w:p>
      <w:pPr>
        <w:pStyle w:val="BodyText"/>
      </w:pPr>
      <w:r>
        <w:t xml:space="preserve">Some kind of app?</w:t>
      </w:r>
    </w:p>
    <w:p>
      <w:pPr>
        <w:pStyle w:val="BodyText"/>
      </w:pPr>
      <w:r>
        <w:t xml:space="preserve">Motion capture suits and TV cameras?</w:t>
      </w:r>
    </w:p>
    <w:p>
      <w:pPr>
        <w:pStyle w:val="BodyText"/>
      </w:pPr>
      <w:r>
        <w:t xml:space="preserve">Experimental, lab-based research</w:t>
      </w:r>
    </w:p>
    <w:p>
      <w:pPr>
        <w:pStyle w:val="BodyText"/>
      </w:pPr>
      <w:r>
        <w:drawing>
          <wp:inline>
            <wp:extent cx="1783080" cy="2674620"/>
            <wp:effectExtent b="0" l="0" r="0" t="0"/>
            <wp:docPr descr="" title="" id="72" name="Picture"/>
            <a:graphic>
              <a:graphicData uri="http://schemas.openxmlformats.org/drawingml/2006/picture">
                <pic:pic>
                  <pic:nvPicPr>
                    <pic:cNvPr descr="images/paste-5E12FEC5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4"/>
    <w:bookmarkStart w:id="75" w:name="machiavellianism"/>
    <w:p>
      <w:pPr>
        <w:pStyle w:val="Heading2"/>
      </w:pPr>
      <w:r>
        <w:t xml:space="preserve">Machiavellianism</w:t>
      </w:r>
    </w:p>
    <w:p>
      <w:pPr>
        <w:pStyle w:val="FirstParagraph"/>
      </w:pPr>
      <w:r>
        <w:t xml:space="preserve">. . .</w:t>
      </w:r>
    </w:p>
    <w:p>
      <w:pPr>
        <w:pStyle w:val="BodyText"/>
      </w:pPr>
      <w:r>
        <w:t xml:space="preserve">Sensitive to social context, and will switch quickly between cooperation</w:t>
      </w:r>
      <w:r>
        <w:t xml:space="preserve"> </w:t>
      </w:r>
      <w:r>
        <w:t xml:space="preserve">and competition depending on utility</w:t>
      </w:r>
    </w:p>
    <w:p>
      <w:pPr>
        <w:pStyle w:val="BodyText"/>
      </w:pPr>
      <w:r>
        <w:t xml:space="preserve">. . .</w:t>
      </w:r>
    </w:p>
    <w:p>
      <w:pPr>
        <w:pStyle w:val="BodyText"/>
      </w:pPr>
      <w:r>
        <w:br/>
      </w:r>
      <w:r>
        <w:t xml:space="preserve">Endorse emotional manipulation and use emotional skills to ingratiate</w:t>
      </w:r>
    </w:p>
    <w:p>
      <w:pPr>
        <w:pStyle w:val="BodyText"/>
      </w:pPr>
      <w:r>
        <w:t xml:space="preserve">. . .</w:t>
      </w:r>
    </w:p>
    <w:p>
      <w:pPr>
        <w:pStyle w:val="BodyText"/>
      </w:pPr>
      <w:r>
        <w:br/>
      </w:r>
      <w:r>
        <w:t xml:space="preserve">Comprises a cynical view of human nature and interpersonal manipulation</w:t>
      </w:r>
      <w:r>
        <w:t xml:space="preserve"> </w:t>
      </w:r>
      <w:r>
        <w:t xml:space="preserve">tactics (perception of the world and behaviour)</w:t>
      </w:r>
    </w:p>
    <w:bookmarkEnd w:id="75"/>
    <w:bookmarkStart w:id="76" w:name="narcissism"/>
    <w:p>
      <w:pPr>
        <w:pStyle w:val="Heading2"/>
      </w:pPr>
      <w:r>
        <w:t xml:space="preserve">Narcissism</w:t>
      </w:r>
    </w:p>
    <w:p>
      <w:pPr>
        <w:pStyle w:val="FirstParagraph"/>
      </w:pPr>
      <w:r>
        <w:t xml:space="preserve">. . .</w:t>
      </w:r>
    </w:p>
    <w:p>
      <w:pPr>
        <w:pStyle w:val="BodyText"/>
      </w:pPr>
      <w:r>
        <w:t xml:space="preserve">Vain,</w:t>
      </w:r>
      <w:r>
        <w:t xml:space="preserve"> </w:t>
      </w:r>
      <w:r>
        <w:t xml:space="preserve">‘</w:t>
      </w:r>
      <w:r>
        <w:t xml:space="preserve">grandiose sense of self</w:t>
      </w:r>
      <w:r>
        <w:t xml:space="preserve">’</w:t>
      </w:r>
      <w:r>
        <w:t xml:space="preserve">, with high levels of entitlement</w:t>
      </w:r>
    </w:p>
    <w:p>
      <w:pPr>
        <w:pStyle w:val="BodyText"/>
      </w:pPr>
      <w:r>
        <w:t xml:space="preserve">. . .</w:t>
      </w:r>
    </w:p>
    <w:p>
      <w:pPr>
        <w:pStyle w:val="BodyText"/>
      </w:pPr>
      <w:r>
        <w:br/>
      </w:r>
      <w:r>
        <w:t xml:space="preserve">The Narcissist is unique and special</w:t>
      </w:r>
    </w:p>
    <w:p>
      <w:pPr>
        <w:pStyle w:val="BodyText"/>
      </w:pPr>
      <w:r>
        <w:t xml:space="preserve">. . .</w:t>
      </w:r>
    </w:p>
    <w:p>
      <w:pPr>
        <w:pStyle w:val="BodyText"/>
      </w:pPr>
      <w:r>
        <w:br/>
      </w:r>
      <w:r>
        <w:t xml:space="preserve">Narcissists, as a result of being surrounded by</w:t>
      </w:r>
      <w:r>
        <w:t xml:space="preserve"> </w:t>
      </w:r>
      <w:r>
        <w:t xml:space="preserve">‘</w:t>
      </w:r>
      <w:r>
        <w:t xml:space="preserve">mere mortals</w:t>
      </w:r>
      <w:r>
        <w:t xml:space="preserve">’</w:t>
      </w:r>
      <w:r>
        <w:t xml:space="preserve"> </w:t>
      </w:r>
      <w:r>
        <w:t xml:space="preserve">may show</w:t>
      </w:r>
      <w:r>
        <w:t xml:space="preserve"> </w:t>
      </w:r>
      <w:r>
        <w:t xml:space="preserve">reduced empathy for others and disregard their goals or status</w:t>
      </w:r>
    </w:p>
    <w:p>
      <w:pPr>
        <w:pStyle w:val="BodyText"/>
      </w:pPr>
      <w:r>
        <w:t xml:space="preserve">. . .</w:t>
      </w:r>
    </w:p>
    <w:p>
      <w:pPr>
        <w:pStyle w:val="BodyText"/>
      </w:pPr>
      <w:r>
        <w:br/>
      </w:r>
      <w:r>
        <w:t xml:space="preserve">Narcissists maintain their grandiose sense of self by seeking out</w:t>
      </w:r>
      <w:r>
        <w:t xml:space="preserve"> </w:t>
      </w:r>
      <w:r>
        <w:t xml:space="preserve">praise, adoration, adulation and avoiding realistic feedback</w:t>
      </w:r>
    </w:p>
    <w:p>
      <w:pPr>
        <w:pStyle w:val="BodyText"/>
      </w:pPr>
      <w:r>
        <w:t xml:space="preserve">Grandiose/Vulnerable distinction is starting to get hold.</w:t>
      </w:r>
    </w:p>
    <w:bookmarkEnd w:id="76"/>
    <w:bookmarkStart w:id="77" w:name="psychopathy"/>
    <w:p>
      <w:pPr>
        <w:pStyle w:val="Heading2"/>
      </w:pPr>
      <w:r>
        <w:t xml:space="preserve">Psychopathy</w:t>
      </w:r>
    </w:p>
    <w:p>
      <w:pPr>
        <w:pStyle w:val="FirstParagraph"/>
      </w:pPr>
      <w:r>
        <w:t xml:space="preserve">. . .</w:t>
      </w:r>
    </w:p>
    <w:p>
      <w:pPr>
        <w:pStyle w:val="BodyText"/>
      </w:pPr>
      <w:r>
        <w:t xml:space="preserve">Manifest disregard for other people - Low empathy, disruptive behaviours</w:t>
      </w:r>
      <w:r>
        <w:t xml:space="preserve"> </w:t>
      </w:r>
      <w:r>
        <w:t xml:space="preserve">verging on bullying or sadism, deception thought to be a central</w:t>
      </w:r>
      <w:r>
        <w:t xml:space="preserve"> </w:t>
      </w:r>
      <w:r>
        <w:t xml:space="preserve">feature.</w:t>
      </w:r>
    </w:p>
    <w:p>
      <w:pPr>
        <w:pStyle w:val="BodyText"/>
      </w:pPr>
      <w:r>
        <w:t xml:space="preserve">. . .</w:t>
      </w:r>
    </w:p>
    <w:p>
      <w:pPr>
        <w:pStyle w:val="BodyText"/>
      </w:pPr>
      <w:r>
        <w:br/>
      </w:r>
      <w:r>
        <w:t xml:space="preserve">Superficial charm and glibness. Erratic lifestyle factors and high</w:t>
      </w:r>
      <w:r>
        <w:t xml:space="preserve"> </w:t>
      </w:r>
      <w:r>
        <w:t xml:space="preserve">impulsivity. Extreme reward appetite and low fear of loss or punishment.</w:t>
      </w:r>
      <w:r>
        <w:t xml:space="preserve"> </w:t>
      </w:r>
      <w:r>
        <w:t xml:space="preserve">Often related to criminal activity.</w:t>
      </w:r>
    </w:p>
    <w:p>
      <w:pPr>
        <w:pStyle w:val="BodyText"/>
      </w:pPr>
      <w:r>
        <w:t xml:space="preserve">. . .</w:t>
      </w:r>
    </w:p>
    <w:p>
      <w:pPr>
        <w:pStyle w:val="BodyText"/>
      </w:pPr>
      <w:r>
        <w:br/>
      </w:r>
      <w:r>
        <w:t xml:space="preserve">Boldness, Meanness, Disinhibition is the 3 Factor structure suggested by</w:t>
      </w:r>
      <w:r>
        <w:t xml:space="preserve"> </w:t>
      </w:r>
      <w:r>
        <w:t xml:space="preserve">the Triarchic Model (Patrick 2010, onwards)</w:t>
      </w:r>
    </w:p>
    <w:bookmarkEnd w:id="77"/>
    <w:bookmarkStart w:id="78" w:name="bonus-prize---sadism"/>
    <w:p>
      <w:pPr>
        <w:pStyle w:val="Heading2"/>
      </w:pPr>
      <w:r>
        <w:t xml:space="preserve">Bonus prize - Sadism</w:t>
      </w:r>
    </w:p>
    <w:p>
      <w:pPr>
        <w:pStyle w:val="FirstParagraph"/>
      </w:pPr>
      <w:r>
        <w:t xml:space="preserve">. . .</w:t>
      </w:r>
    </w:p>
    <w:p>
      <w:pPr>
        <w:pStyle w:val="BodyText"/>
      </w:pPr>
      <w:r>
        <w:t xml:space="preserve">As part of the Dark Tetrad, sadism is investigated in its subclinical</w:t>
      </w:r>
      <w:r>
        <w:t xml:space="preserve"> </w:t>
      </w:r>
      <w:r>
        <w:t xml:space="preserve">manifestation—</w:t>
      </w:r>
      <w:r>
        <w:rPr>
          <w:iCs/>
          <w:i/>
          <w:bCs/>
          <w:b/>
        </w:rPr>
        <w:t xml:space="preserve">everyday sadism</w:t>
      </w:r>
      <w:r>
        <w:t xml:space="preserve">.</w:t>
      </w:r>
    </w:p>
    <w:p>
      <w:pPr>
        <w:pStyle w:val="BodyText"/>
      </w:pPr>
      <w:r>
        <w:t xml:space="preserve">. . .</w:t>
      </w:r>
    </w:p>
    <w:p>
      <w:pPr>
        <w:pStyle w:val="BodyText"/>
      </w:pPr>
      <w:r>
        <w:br/>
      </w:r>
      <w:r>
        <w:t xml:space="preserve">When people enjoy watching violent movies or even playing violent games</w:t>
      </w:r>
      <w:r>
        <w:t xml:space="preserve"> </w:t>
      </w:r>
      <w:r>
        <w:t xml:space="preserve">as a social escape to manifest their sadistic traits it is referred to</w:t>
      </w:r>
      <w:r>
        <w:t xml:space="preserve"> </w:t>
      </w:r>
      <w:r>
        <w:t xml:space="preserve">as</w:t>
      </w:r>
      <w:r>
        <w:t xml:space="preserve"> </w:t>
      </w:r>
      <w:r>
        <w:rPr>
          <w:iCs/>
          <w:i/>
          <w:bCs/>
          <w:b/>
        </w:rPr>
        <w:t xml:space="preserve">vicarious sadism</w:t>
      </w:r>
      <w:r>
        <w:t xml:space="preserve">.</w:t>
      </w:r>
    </w:p>
    <w:p>
      <w:pPr>
        <w:pStyle w:val="BodyText"/>
      </w:pPr>
      <w:r>
        <w:t xml:space="preserve">. . .</w:t>
      </w:r>
    </w:p>
    <w:p>
      <w:pPr>
        <w:pStyle w:val="BodyText"/>
      </w:pPr>
      <w:r>
        <w:br/>
      </w:r>
      <w:r>
        <w:t xml:space="preserve">There is sometimes an alternative aspect called</w:t>
      </w:r>
      <w:r>
        <w:t xml:space="preserve"> </w:t>
      </w:r>
      <w:r>
        <w:rPr>
          <w:iCs/>
          <w:i/>
          <w:bCs/>
          <w:b/>
        </w:rPr>
        <w:t xml:space="preserve">direct sadism</w:t>
      </w:r>
      <w:r>
        <w:t xml:space="preserve">, but</w:t>
      </w:r>
      <w:r>
        <w:t xml:space="preserve"> </w:t>
      </w:r>
      <w:r>
        <w:t xml:space="preserve">it is actually far too rare to be useful in most studies.</w:t>
      </w:r>
    </w:p>
    <w:p>
      <w:pPr>
        <w:pStyle w:val="BodyText"/>
      </w:pPr>
      <w:r>
        <w:t xml:space="preserve">. . .</w:t>
      </w:r>
    </w:p>
    <w:p>
      <w:pPr>
        <w:pStyle w:val="BodyText"/>
      </w:pPr>
      <w:r>
        <w:br/>
      </w:r>
      <w:r>
        <w:t xml:space="preserve">In turn, higher scores in everyday sadism are associated with injuring</w:t>
      </w:r>
      <w:r>
        <w:t xml:space="preserve"> </w:t>
      </w:r>
      <w:r>
        <w:t xml:space="preserve">others verbally, physically, and/or psychologically, inspired by a</w:t>
      </w:r>
      <w:r>
        <w:t xml:space="preserve"> </w:t>
      </w:r>
      <w:r>
        <w:t xml:space="preserve">hedonic value of being cruel.</w:t>
      </w:r>
    </w:p>
    <w:bookmarkEnd w:id="78"/>
    <w:bookmarkStart w:id="82" w:name="for-a-comprehensive-overview"/>
    <w:p>
      <w:pPr>
        <w:pStyle w:val="Heading2"/>
      </w:pPr>
      <w:r>
        <w:t xml:space="preserve">For a comprehensive overview</w:t>
      </w:r>
    </w:p>
    <w:p>
      <w:pPr>
        <w:pStyle w:val="FirstParagraph"/>
      </w:pPr>
      <w:r>
        <w:t xml:space="preserve">Turi et al. (2022)</w:t>
      </w:r>
    </w:p>
    <w:p>
      <w:pPr>
        <w:pStyle w:val="BodyText"/>
      </w:pPr>
      <w:r>
        <w:t xml:space="preserve">Bonfá-Araujo et al. (2022)</w:t>
      </w:r>
    </w:p>
    <w:p>
      <w:pPr>
        <w:pStyle w:val="BodyText"/>
      </w:pPr>
      <w:r>
        <w:t xml:space="preserve">Levine (2022)</w:t>
      </w:r>
    </w:p>
    <w:p>
      <w:pPr>
        <w:pStyle w:val="BodyText"/>
      </w:pPr>
      <w:r>
        <w:t xml:space="preserve">Denault et al. (2022)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drawing>
          <wp:inline>
            <wp:extent cx="5943600" cy="3373204"/>
            <wp:effectExtent b="0" l="0" r="0" t="0"/>
            <wp:docPr descr="" title="" id="80" name="Picture"/>
            <a:graphic>
              <a:graphicData uri="http://schemas.openxmlformats.org/drawingml/2006/picture">
                <pic:pic>
                  <pic:nvPicPr>
                    <pic:cNvPr descr="images/paste-119912CF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32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2"/>
    <w:bookmarkStart w:id="87" w:name="the-target-paper-gunderson2022"/>
    <w:p>
      <w:pPr>
        <w:pStyle w:val="Heading2"/>
      </w:pPr>
      <w:r>
        <w:t xml:space="preserve">The Target Paper</w:t>
      </w:r>
      <w:r>
        <w:t xml:space="preserve"> </w:t>
      </w:r>
      <w:r>
        <w:t xml:space="preserve">Gunderson et al. (2022)</w:t>
      </w:r>
    </w:p>
    <w:p>
      <w:pPr>
        <w:pStyle w:val="FirstParagraph"/>
      </w:pPr>
      <w:hyperlink r:id="rId83">
        <w:r>
          <w:rPr>
            <w:rStyle w:val="Hyperlink"/>
          </w:rPr>
          <w:t xml:space="preserve">https://hyp.is/L4vR9m9QEe2hne9nNT_AIg/link.springer.com/article/10.1007/s42761-022-00126-5</w:t>
        </w:r>
      </w:hyperlink>
    </w:p>
    <w:p>
      <w:pPr>
        <w:pStyle w:val="BodyText"/>
      </w:pPr>
      <w:r>
        <w:drawing>
          <wp:inline>
            <wp:extent cx="5943600" cy="4780285"/>
            <wp:effectExtent b="0" l="0" r="0" t="0"/>
            <wp:docPr descr="" title="" id="85" name="Picture"/>
            <a:graphic>
              <a:graphicData uri="http://schemas.openxmlformats.org/drawingml/2006/picture">
                <pic:pic>
                  <pic:nvPicPr>
                    <pic:cNvPr descr="images/paste-12B4ABA9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802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bookmarkEnd w:id="87"/>
    <w:bookmarkStart w:id="92" w:name="hypothes.is"/>
    <w:p>
      <w:pPr>
        <w:pStyle w:val="Heading2"/>
      </w:pPr>
      <w:r>
        <w:t xml:space="preserve">Hypothes.is</w:t>
      </w:r>
    </w:p>
    <w:p>
      <w:pPr>
        <w:pStyle w:val="FirstParagraph"/>
      </w:pPr>
      <w:r>
        <w:t xml:space="preserve">hint: Sign up for a Hypothesis account (FREE)</w:t>
      </w:r>
    </w:p>
    <w:p>
      <w:pPr>
        <w:pStyle w:val="BodyText"/>
      </w:pPr>
      <w:r>
        <w:t xml:space="preserve">Log in.</w:t>
      </w:r>
    </w:p>
    <w:p>
      <w:pPr>
        <w:pStyle w:val="BodyText"/>
      </w:pPr>
      <w:r>
        <w:t xml:space="preserve">Then access the paper here:</w:t>
      </w:r>
      <w:r>
        <w:t xml:space="preserve"> </w:t>
      </w:r>
      <w:hyperlink r:id="rId88">
        <w:r>
          <w:rPr>
            <w:rStyle w:val="Hyperlink"/>
          </w:rPr>
          <w:t xml:space="preserve">https://hyp.is/hvUM3m-KEe26bBOBEKqwUQ/link.springer.com/article/10.1007/s42761-022-00126-5</w:t>
        </w:r>
      </w:hyperlink>
    </w:p>
    <w:tbl>
      <w:tblPr>
        <w:tblStyle w:val="Table"/>
        <w:tblW w:type="pct" w:w="5000"/>
        <w:tblLook w:firstRow="0" w:lastRow="0" w:firstColumn="0" w:lastColumn="0" w:noHBand="0" w:noVBand="0" w:val="0000"/>
        <w:jc w:val="start"/>
      </w:tblPr>
      <w:tblGrid>
        <w:gridCol w:w="7920"/>
      </w:tblGrid>
      <w:tr>
        <w:tc>
          <w:tcPr/>
          <w:p>
            <w:pPr>
              <w:jc w:val="center"/>
            </w:pPr>
            <w:r>
              <w:drawing>
                <wp:inline>
                  <wp:extent cx="5943600" cy="3399503"/>
                  <wp:effectExtent b="0" l="0" r="0" t="0"/>
                  <wp:docPr descr="" title="" id="90" name="Picture"/>
                  <a:graphic>
                    <a:graphicData uri="http://schemas.openxmlformats.org/drawingml/2006/picture">
                      <pic:pic>
                        <pic:nvPicPr>
                          <pic:cNvPr descr="images/Hypothesis@2x.png" id="9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399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Hypothes.is</w:t>
            </w:r>
          </w:p>
        </w:tc>
      </w:tr>
    </w:tbl>
    <w:bookmarkEnd w:id="92"/>
    <w:bookmarkStart w:id="96" w:name="so-lets-briefly-think-about-the-study"/>
    <w:p>
      <w:pPr>
        <w:pStyle w:val="Heading2"/>
      </w:pPr>
      <w:r>
        <w:t xml:space="preserve">So let’s briefly think about the study</w:t>
      </w:r>
    </w:p>
    <w:p>
      <w:pPr>
        <w:pStyle w:val="FirstParagraph"/>
      </w:pPr>
      <w:r>
        <w:t xml:space="preserve">They</w:t>
      </w:r>
      <w:r>
        <w:t xml:space="preserve"> </w:t>
      </w:r>
      <w:r>
        <w:t xml:space="preserve">‘</w:t>
      </w:r>
      <w:r>
        <w:t xml:space="preserve">operationalised</w:t>
      </w:r>
      <w:r>
        <w:t xml:space="preserve">’</w:t>
      </w:r>
      <w:r>
        <w:t xml:space="preserve"> </w:t>
      </w:r>
      <w:r>
        <w:t xml:space="preserve">deception in the following way:</w:t>
      </w:r>
    </w:p>
    <w:p>
      <w:pPr>
        <w:pStyle w:val="BodyText"/>
      </w:pPr>
      <w:r>
        <w:drawing>
          <wp:inline>
            <wp:extent cx="5943600" cy="3969552"/>
            <wp:effectExtent b="0" l="0" r="0" t="0"/>
            <wp:docPr descr="" title="" id="94" name="Picture"/>
            <a:graphic>
              <a:graphicData uri="http://schemas.openxmlformats.org/drawingml/2006/picture">
                <pic:pic>
                  <pic:nvPicPr>
                    <pic:cNvPr descr="images/Gunderson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95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6"/>
    <w:bookmarkStart w:id="100" w:name="they-measured-duping-delight"/>
    <w:p>
      <w:pPr>
        <w:pStyle w:val="Heading2"/>
      </w:pPr>
      <w:r>
        <w:t xml:space="preserve">They measured</w:t>
      </w:r>
      <w:r>
        <w:t xml:space="preserve"> </w:t>
      </w:r>
      <w:r>
        <w:t xml:space="preserve">‘</w:t>
      </w:r>
      <w:r>
        <w:t xml:space="preserve">duping delight</w:t>
      </w:r>
      <w:r>
        <w:t xml:space="preserve">’</w:t>
      </w:r>
      <w:r>
        <w:t xml:space="preserve">…</w:t>
      </w:r>
    </w:p>
    <w:p>
      <w:pPr>
        <w:pStyle w:val="FirstParagraph"/>
      </w:pPr>
      <w:r>
        <w:drawing>
          <wp:inline>
            <wp:extent cx="5943600" cy="1151572"/>
            <wp:effectExtent b="0" l="0" r="0" t="0"/>
            <wp:docPr descr="" title="" id="98" name="Picture"/>
            <a:graphic>
              <a:graphicData uri="http://schemas.openxmlformats.org/drawingml/2006/picture">
                <pic:pic>
                  <pic:nvPicPr>
                    <pic:cNvPr descr="images/PANAS@2x.png" id="99" name="Picture"/>
                    <pic:cNvPicPr>
                      <a:picLocks noChangeArrowheads="1"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515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00"/>
    <w:bookmarkStart w:id="104" w:name="does-that-satisfy-you"/>
    <w:p>
      <w:pPr>
        <w:pStyle w:val="Heading2"/>
      </w:pPr>
      <w:r>
        <w:t xml:space="preserve">Does that satisfy you?</w:t>
      </w:r>
    </w:p>
    <w:p>
      <w:pPr>
        <w:pStyle w:val="FirstParagraph"/>
      </w:pPr>
      <w:r>
        <w:t xml:space="preserve">Is that a good way to measure an emotional reaction?</w:t>
      </w:r>
    </w:p>
    <w:p>
      <w:pPr>
        <w:pStyle w:val="BodyText"/>
      </w:pPr>
      <w:r>
        <w:drawing>
          <wp:inline>
            <wp:extent cx="4178300" cy="5562600"/>
            <wp:effectExtent b="0" l="0" r="0" t="0"/>
            <wp:docPr descr="" title="" id="102" name="Picture"/>
            <a:graphic>
              <a:graphicData uri="http://schemas.openxmlformats.org/drawingml/2006/picture">
                <pic:pic>
                  <pic:nvPicPr>
                    <pic:cNvPr descr="images/Polygraph@2x.png" id="103" name="Picture"/>
                    <pic:cNvPicPr>
                      <a:picLocks noChangeArrowheads="1"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04"/>
    <w:bookmarkStart w:id="116" w:name="references"/>
    <w:p>
      <w:pPr>
        <w:pStyle w:val="Heading2"/>
      </w:pPr>
      <w:r>
        <w:t xml:space="preserve">References</w:t>
      </w:r>
    </w:p>
    <w:bookmarkStart w:id="115" w:name="refs"/>
    <w:bookmarkStart w:id="105" w:name="ref-bonfa-araujo2022"/>
    <w:p>
      <w:pPr>
        <w:pStyle w:val="Bibliography"/>
      </w:pPr>
      <w:r>
        <w:t xml:space="preserve">Bonfá-Araujo, B., Lima-Costa, A. R., Hauck-Filho, N., &amp; Jonason, P. K. (2022). Considering sadism in the shadow of the dark triad traits: A meta-analytic review of the dark tetrad.</w:t>
      </w:r>
      <w:r>
        <w:t xml:space="preserve"> </w:t>
      </w:r>
      <w:r>
        <w:rPr>
          <w:iCs/>
          <w:i/>
        </w:rPr>
        <w:t xml:space="preserve">Personality and Individual Differences</w:t>
      </w:r>
      <w:r>
        <w:t xml:space="preserve">,</w:t>
      </w:r>
      <w:r>
        <w:t xml:space="preserve"> </w:t>
      </w:r>
      <w:r>
        <w:rPr>
          <w:iCs/>
          <w:i/>
        </w:rPr>
        <w:t xml:space="preserve">197</w:t>
      </w:r>
      <w:r>
        <w:t xml:space="preserve">, 111767.</w:t>
      </w:r>
    </w:p>
    <w:bookmarkEnd w:id="105"/>
    <w:bookmarkStart w:id="106" w:name="ref-byrne2018"/>
    <w:p>
      <w:pPr>
        <w:pStyle w:val="Bibliography"/>
      </w:pPr>
      <w:r>
        <w:t xml:space="preserve">Byrne, R. (2018). Machiavellian intelligence retrospective.</w:t>
      </w:r>
      <w:r>
        <w:t xml:space="preserve"> </w:t>
      </w:r>
      <w:r>
        <w:rPr>
          <w:iCs/>
          <w:i/>
        </w:rPr>
        <w:t xml:space="preserve">Journal of Comparative Psychology</w:t>
      </w:r>
      <w:r>
        <w:t xml:space="preserve">.</w:t>
      </w:r>
    </w:p>
    <w:bookmarkEnd w:id="106"/>
    <w:bookmarkStart w:id="107" w:name="ref-byrne2004a"/>
    <w:p>
      <w:pPr>
        <w:pStyle w:val="Bibliography"/>
      </w:pPr>
      <w:r>
        <w:t xml:space="preserve">Byrne, R. W., &amp; Corp, N. (2004). Neocortex size predicts deception rate in primates.</w:t>
      </w:r>
      <w:r>
        <w:t xml:space="preserve"> </w:t>
      </w:r>
      <w:r>
        <w:rPr>
          <w:iCs/>
          <w:i/>
        </w:rPr>
        <w:t xml:space="preserve">Proceedings of the Royal Society of London. Series B: Biological Sciences Proc. R. Soc. Lond. B</w:t>
      </w:r>
      <w:r>
        <w:t xml:space="preserve">,</w:t>
      </w:r>
      <w:r>
        <w:t xml:space="preserve"> </w:t>
      </w:r>
      <w:r>
        <w:rPr>
          <w:iCs/>
          <w:i/>
        </w:rPr>
        <w:t xml:space="preserve">271</w:t>
      </w:r>
      <w:r>
        <w:t xml:space="preserve">(1549), 1693–1699.</w:t>
      </w:r>
    </w:p>
    <w:bookmarkEnd w:id="107"/>
    <w:bookmarkStart w:id="108" w:name="ref-denault2022d"/>
    <w:p>
      <w:pPr>
        <w:pStyle w:val="Bibliography"/>
      </w:pPr>
      <w:r>
        <w:t xml:space="preserve">Denault, V., Talwar, V., Plusquellec, P., &amp; Larivière, V. (2022). On deception and lying: An overview of over 100 years of social science research.</w:t>
      </w:r>
      <w:r>
        <w:t xml:space="preserve"> </w:t>
      </w:r>
      <w:r>
        <w:rPr>
          <w:iCs/>
          <w:i/>
        </w:rPr>
        <w:t xml:space="preserve">Applied Cognitive Psychology</w:t>
      </w:r>
      <w:r>
        <w:t xml:space="preserve">,</w:t>
      </w:r>
      <w:r>
        <w:t xml:space="preserve"> </w:t>
      </w:r>
      <w:r>
        <w:rPr>
          <w:iCs/>
          <w:i/>
        </w:rPr>
        <w:t xml:space="preserve">36</w:t>
      </w:r>
      <w:r>
        <w:t xml:space="preserve">(4), 805–819.</w:t>
      </w:r>
    </w:p>
    <w:bookmarkEnd w:id="108"/>
    <w:bookmarkStart w:id="109" w:name="ref-gunderson2022"/>
    <w:p>
      <w:pPr>
        <w:pStyle w:val="Bibliography"/>
      </w:pPr>
      <w:r>
        <w:t xml:space="preserve">Gunderson, C. A., Vo, T. V. A., Harriot, B., Kam, C., &amp; Ten Brinke, L. (2022). In search of duping delight.</w:t>
      </w:r>
      <w:r>
        <w:t xml:space="preserve"> </w:t>
      </w:r>
      <w:r>
        <w:rPr>
          <w:iCs/>
          <w:i/>
        </w:rPr>
        <w:t xml:space="preserve">Affective Science</w:t>
      </w:r>
      <w:r>
        <w:t xml:space="preserve">,</w:t>
      </w:r>
      <w:r>
        <w:t xml:space="preserve"> </w:t>
      </w:r>
      <w:r>
        <w:rPr>
          <w:iCs/>
          <w:i/>
        </w:rPr>
        <w:t xml:space="preserve">3</w:t>
      </w:r>
      <w:r>
        <w:t xml:space="preserve">(3), 519–527.</w:t>
      </w:r>
    </w:p>
    <w:bookmarkEnd w:id="109"/>
    <w:bookmarkStart w:id="110" w:name="ref-levine2022d"/>
    <w:p>
      <w:pPr>
        <w:pStyle w:val="Bibliography"/>
      </w:pPr>
      <w:r>
        <w:t xml:space="preserve">Levine, T. R. (2022). Truth-default theory and the psychology of lying and deception detection.</w:t>
      </w:r>
      <w:r>
        <w:t xml:space="preserve"> </w:t>
      </w:r>
      <w:r>
        <w:rPr>
          <w:iCs/>
          <w:i/>
        </w:rPr>
        <w:t xml:space="preserve">Current Opinion in Psychology</w:t>
      </w:r>
      <w:r>
        <w:t xml:space="preserve">,</w:t>
      </w:r>
      <w:r>
        <w:t xml:space="preserve"> </w:t>
      </w:r>
      <w:r>
        <w:rPr>
          <w:iCs/>
          <w:i/>
        </w:rPr>
        <w:t xml:space="preserve">47</w:t>
      </w:r>
      <w:r>
        <w:t xml:space="preserve">, 101380.</w:t>
      </w:r>
    </w:p>
    <w:bookmarkEnd w:id="110"/>
    <w:bookmarkStart w:id="111" w:name="ref-levine2010d"/>
    <w:p>
      <w:pPr>
        <w:pStyle w:val="Bibliography"/>
      </w:pPr>
      <w:r>
        <w:t xml:space="preserve">Levine, T. R., Kim, R. K., &amp; Hamel, L. M. (2010). People lie for a reason: Three experiments documenting the principle of veracity.</w:t>
      </w:r>
      <w:r>
        <w:t xml:space="preserve"> </w:t>
      </w:r>
      <w:r>
        <w:rPr>
          <w:iCs/>
          <w:i/>
        </w:rPr>
        <w:t xml:space="preserve">Communication Research Reports</w:t>
      </w:r>
      <w:r>
        <w:t xml:space="preserve">,</w:t>
      </w:r>
      <w:r>
        <w:t xml:space="preserve"> </w:t>
      </w:r>
      <w:r>
        <w:rPr>
          <w:iCs/>
          <w:i/>
        </w:rPr>
        <w:t xml:space="preserve">27</w:t>
      </w:r>
      <w:r>
        <w:t xml:space="preserve">(4), 271–285.</w:t>
      </w:r>
    </w:p>
    <w:bookmarkEnd w:id="111"/>
    <w:bookmarkStart w:id="112" w:name="ref-shultz2022"/>
    <w:p>
      <w:pPr>
        <w:pStyle w:val="Bibliography"/>
      </w:pPr>
      <w:r>
        <w:t xml:space="preserve">Shultz, S., &amp; Dunbar, R. I. (2022). Socioecological complexity in primate groups and its cognitive correlates.</w:t>
      </w:r>
      <w:r>
        <w:t xml:space="preserve"> </w:t>
      </w:r>
      <w:r>
        <w:rPr>
          <w:iCs/>
          <w:i/>
        </w:rPr>
        <w:t xml:space="preserve">Philosophical Transactions of the Royal Society B</w:t>
      </w:r>
      <w:r>
        <w:t xml:space="preserve">,</w:t>
      </w:r>
      <w:r>
        <w:t xml:space="preserve"> </w:t>
      </w:r>
      <w:r>
        <w:rPr>
          <w:iCs/>
          <w:i/>
        </w:rPr>
        <w:t xml:space="preserve">377</w:t>
      </w:r>
      <w:r>
        <w:t xml:space="preserve">(1860), 20210296.</w:t>
      </w:r>
    </w:p>
    <w:bookmarkEnd w:id="112"/>
    <w:bookmarkStart w:id="113" w:name="ref-turi2022a"/>
    <w:p>
      <w:pPr>
        <w:pStyle w:val="Bibliography"/>
      </w:pPr>
      <w:r>
        <w:t xml:space="preserve">Turi, A., Rebeleș, M.-R., &amp; Visu-Petra, L. (2022). The tangled webs they weave: A scoping review of deception detection and production in relation to dark triad traits.</w:t>
      </w:r>
      <w:r>
        <w:t xml:space="preserve"> </w:t>
      </w:r>
      <w:r>
        <w:rPr>
          <w:iCs/>
          <w:i/>
        </w:rPr>
        <w:t xml:space="preserve">Acta Psychol (Amst)</w:t>
      </w:r>
      <w:r>
        <w:t xml:space="preserve">,</w:t>
      </w:r>
      <w:r>
        <w:t xml:space="preserve"> </w:t>
      </w:r>
      <w:r>
        <w:rPr>
          <w:iCs/>
          <w:i/>
        </w:rPr>
        <w:t xml:space="preserve">226</w:t>
      </w:r>
      <w:r>
        <w:t xml:space="preserve">, 103574.</w:t>
      </w:r>
    </w:p>
    <w:bookmarkEnd w:id="113"/>
    <w:bookmarkStart w:id="114" w:name="ref-whiten2018"/>
    <w:p>
      <w:pPr>
        <w:pStyle w:val="Bibliography"/>
      </w:pPr>
      <w:r>
        <w:t xml:space="preserve">Whiten, A. (2018). Social, machiavellian and cultural cognition: A golden age of discovery in comparative and evolutionary psychology.</w:t>
      </w:r>
      <w:r>
        <w:t xml:space="preserve"> </w:t>
      </w:r>
      <w:r>
        <w:rPr>
          <w:iCs/>
          <w:i/>
        </w:rPr>
        <w:t xml:space="preserve">Journal of Comparative Psychology</w:t>
      </w:r>
      <w:r>
        <w:t xml:space="preserve">.</w:t>
      </w:r>
    </w:p>
    <w:bookmarkEnd w:id="114"/>
    <w:bookmarkEnd w:id="115"/>
    <w:bookmarkEnd w:id="116"/>
    <w:bookmarkEnd w:id="117"/>
    <w:sectPr w:rsidR="0088650E" w:rsidRPr="00E343F9"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tkinson Hyperlegible">
    <w:panose1 w:val="00000000000000000000"/>
    <w:charset w:val="00"/>
    <w:family w:val="auto"/>
    <w:notTrueType/>
    <w:pitch w:val="variable"/>
    <w:sig w:usb0="00000027" w:usb1="00000000" w:usb2="00000000" w:usb3="00000000" w:csb0="00000083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abstractNum w15:restartNumberingAfterBreak="0" w:abstractNumId="0">
    <w:nsid w:val="FFFFFF7C"/>
    <w:multiLevelType w:val="singleLevel"/>
    <w:tmpl w:val="DF66E58A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5F98E458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B4026960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F4EA5DD0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12906A7E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cs="Symbol" w:hAnsi="Symbol" w:hint="default"/>
      </w:rPr>
    </w:lvl>
  </w:abstractNum>
  <w:abstractNum w15:restartNumberingAfterBreak="0" w:abstractNumId="5">
    <w:nsid w:val="FFFFFF81"/>
    <w:multiLevelType w:val="singleLevel"/>
    <w:tmpl w:val="EBD6FB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F12A7248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A6082D06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7430E372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A4AC0676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170CD2DE"/>
    <w:multiLevelType w:val="multilevel"/>
    <w:tmpl w:val="FC5E68C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16cid:durableId="463625701" w:numId="1">
    <w:abstractNumId w:val="10"/>
  </w:num>
  <w:num w16cid:durableId="398986169" w:numId="2">
    <w:abstractNumId w:val="0"/>
  </w:num>
  <w:num w16cid:durableId="1447194981" w:numId="3">
    <w:abstractNumId w:val="1"/>
  </w:num>
  <w:num w16cid:durableId="1354303259" w:numId="4">
    <w:abstractNumId w:val="2"/>
  </w:num>
  <w:num w16cid:durableId="1099714785" w:numId="5">
    <w:abstractNumId w:val="3"/>
  </w:num>
  <w:num w16cid:durableId="1800102660" w:numId="6">
    <w:abstractNumId w:val="8"/>
  </w:num>
  <w:num w16cid:durableId="1079213627" w:numId="7">
    <w:abstractNumId w:val="4"/>
  </w:num>
  <w:num w16cid:durableId="2073961952" w:numId="8">
    <w:abstractNumId w:val="5"/>
  </w:num>
  <w:num w16cid:durableId="649210763" w:numId="9">
    <w:abstractNumId w:val="6"/>
  </w:num>
  <w:num w16cid:durableId="1063018244" w:numId="10">
    <w:abstractNumId w:val="7"/>
  </w:num>
  <w:num w16cid:durableId="184291971" w:numId="11">
    <w:abstractNumId w:val="9"/>
  </w:num>
  <w:num w:numId="1000">
    <w:abstractNumId w:val="990"/>
  </w:num>
  <w:num w:numId="1001">
    <w:abstractNumId w:val="991"/>
  </w:num>
  <w:num w:numId="1002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89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011855"/>
    <w:pPr>
      <w:spacing w:before="120"/>
    </w:pPr>
    <w:rPr>
      <w:rFonts w:ascii="Atkinson Hyperlegible" w:hAnsi="Atkinson Hyperlegible"/>
    </w:rPr>
  </w:style>
  <w:style w:styleId="Heading1" w:type="paragraph">
    <w:name w:val="heading 1"/>
    <w:basedOn w:val="Normal"/>
    <w:next w:val="BodyText"/>
    <w:uiPriority w:val="9"/>
    <w:qFormat/>
    <w:rsid w:val="000E3EAF"/>
    <w:pPr>
      <w:keepNext/>
      <w:keepLines/>
      <w:pBdr>
        <w:top w:color="auto" w:space="1" w:sz="4" w:val="single"/>
        <w:left w:color="auto" w:space="4" w:sz="4" w:val="single"/>
        <w:bottom w:color="auto" w:space="1" w:sz="4" w:val="single"/>
        <w:right w:color="auto" w:space="4" w:sz="4" w:val="single"/>
      </w:pBdr>
      <w:shd w:color="auto" w:fill="auto" w:val="pct15"/>
      <w:spacing w:after="0" w:before="480"/>
      <w:outlineLvl w:val="0"/>
    </w:pPr>
    <w:rPr>
      <w:rFonts w:cstheme="majorBidi" w:eastAsiaTheme="majorEastAsia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rsid w:val="003E251B"/>
    <w:pPr>
      <w:keepNext/>
      <w:keepLines/>
      <w:pBdr>
        <w:top w:color="auto" w:space="4" w:sz="4" w:val="single"/>
      </w:pBdr>
      <w:spacing w:after="480" w:before="480"/>
      <w:contextualSpacing/>
      <w:jc w:val="center"/>
      <w:outlineLvl w:val="1"/>
    </w:pPr>
    <w:rPr>
      <w:rFonts w:cstheme="majorBidi" w:eastAsiaTheme="majorEastAsia"/>
      <w:b/>
      <w:bCs/>
      <w:color w:themeColor="text2" w:val="1F497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rsid w:val="00641073"/>
    <w:pPr>
      <w:keepNext/>
      <w:keepLines/>
      <w:spacing w:after="0" w:before="200"/>
      <w:outlineLvl w:val="2"/>
    </w:pPr>
    <w:rPr>
      <w:rFonts w:cstheme="majorBidi" w:eastAsiaTheme="majorEastAsia"/>
      <w:b/>
      <w:bCs/>
      <w:color w:themeColor="accent1" w:val="4F81BD"/>
    </w:rPr>
  </w:style>
  <w:style w:styleId="Heading4" w:type="paragraph">
    <w:name w:val="heading 4"/>
    <w:basedOn w:val="Normal"/>
    <w:next w:val="BodyText"/>
    <w:uiPriority w:val="9"/>
    <w:unhideWhenUsed/>
    <w:qFormat/>
    <w:rsid w:val="00641073"/>
    <w:pPr>
      <w:keepNext/>
      <w:keepLines/>
      <w:spacing w:after="0" w:before="200"/>
      <w:outlineLvl w:val="3"/>
    </w:pPr>
    <w:rPr>
      <w:rFonts w:cstheme="majorBidi" w:eastAsiaTheme="majorEastAsia"/>
      <w:bCs/>
      <w:i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rsid w:val="00641073"/>
    <w:pPr>
      <w:keepNext/>
      <w:keepLines/>
      <w:spacing w:after="0" w:before="200"/>
      <w:outlineLvl w:val="4"/>
    </w:pPr>
    <w:rPr>
      <w:rFonts w:cstheme="majorBidi" w:eastAsiaTheme="majorEastAsia"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rsid w:val="00641073"/>
    <w:pPr>
      <w:keepNext/>
      <w:keepLines/>
      <w:spacing w:after="0" w:before="200"/>
      <w:outlineLvl w:val="5"/>
    </w:pPr>
    <w:rPr>
      <w:rFonts w:cstheme="majorBidi" w:eastAsiaTheme="majorEastAsia"/>
      <w:color w:themeColor="accent1" w:val="4F81BD"/>
    </w:rPr>
  </w:style>
  <w:style w:styleId="Heading7" w:type="paragraph">
    <w:name w:val="heading 7"/>
    <w:basedOn w:val="Normal"/>
    <w:next w:val="BodyText"/>
    <w:uiPriority w:val="9"/>
    <w:unhideWhenUsed/>
    <w:qFormat/>
    <w:rsid w:val="00641073"/>
    <w:pPr>
      <w:keepNext/>
      <w:keepLines/>
      <w:spacing w:after="0" w:before="200"/>
      <w:outlineLvl w:val="6"/>
    </w:pPr>
    <w:rPr>
      <w:rFonts w:cstheme="majorBidi" w:eastAsiaTheme="majorEastAsia"/>
      <w:color w:themeColor="accent1" w:val="4F81BD"/>
    </w:rPr>
  </w:style>
  <w:style w:styleId="Heading8" w:type="paragraph">
    <w:name w:val="heading 8"/>
    <w:basedOn w:val="Normal"/>
    <w:next w:val="BodyText"/>
    <w:uiPriority w:val="9"/>
    <w:unhideWhenUsed/>
    <w:qFormat/>
    <w:rsid w:val="00641073"/>
    <w:pPr>
      <w:keepNext/>
      <w:keepLines/>
      <w:spacing w:after="0" w:before="200"/>
      <w:outlineLvl w:val="7"/>
    </w:pPr>
    <w:rPr>
      <w:rFonts w:cstheme="majorBidi" w:eastAsiaTheme="majorEastAsia"/>
      <w:color w:themeColor="accent1" w:val="4F81BD"/>
    </w:rPr>
  </w:style>
  <w:style w:styleId="Heading9" w:type="paragraph">
    <w:name w:val="heading 9"/>
    <w:basedOn w:val="Normal"/>
    <w:next w:val="BodyText"/>
    <w:uiPriority w:val="9"/>
    <w:unhideWhenUsed/>
    <w:qFormat/>
    <w:rsid w:val="00641073"/>
    <w:pPr>
      <w:keepNext/>
      <w:keepLines/>
      <w:spacing w:after="0" w:before="200"/>
      <w:outlineLvl w:val="8"/>
    </w:pPr>
    <w:rPr>
      <w:rFonts w:cstheme="majorBidi" w:eastAsiaTheme="majorEastAsia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qFormat/>
    <w:rsid w:val="00641073"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  <w:rsid w:val="00641073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rsid w:val="006D2303"/>
    <w:pPr>
      <w:keepNext/>
      <w:keepLines/>
      <w:spacing w:after="240" w:before="480"/>
      <w:jc w:val="center"/>
    </w:pPr>
    <w:rPr>
      <w:rFonts w:cstheme="majorBidi" w:eastAsiaTheme="majorEastAsia"/>
      <w:b/>
      <w:bCs/>
      <w:color w:val="325B74"/>
      <w:sz w:val="36"/>
      <w:szCs w:val="36"/>
    </w:rPr>
  </w:style>
  <w:style w:styleId="Subtitle" w:type="paragraph">
    <w:name w:val="Subtitle"/>
    <w:basedOn w:val="Title"/>
    <w:next w:val="BodyText"/>
    <w:qFormat/>
    <w:rsid w:val="006D2303"/>
    <w:pPr>
      <w:spacing w:before="240"/>
    </w:pPr>
    <w:rPr>
      <w:i/>
      <w:sz w:val="30"/>
      <w:szCs w:val="30"/>
    </w:rPr>
  </w:style>
  <w:style w:customStyle="1" w:styleId="Author" w:type="paragraph">
    <w:name w:val="Author"/>
    <w:next w:val="BodyText"/>
    <w:qFormat/>
    <w:rsid w:val="00641073"/>
    <w:pPr>
      <w:keepNext/>
      <w:keepLines/>
      <w:jc w:val="center"/>
    </w:pPr>
    <w:rPr>
      <w:rFonts w:ascii="Atkinson Hyperlegible" w:hAnsi="Atkinson Hyperlegible"/>
    </w:rPr>
  </w:style>
  <w:style w:styleId="Date" w:type="paragraph">
    <w:name w:val="Date"/>
    <w:next w:val="BodyText"/>
    <w:qFormat/>
    <w:rsid w:val="00641073"/>
    <w:pPr>
      <w:keepNext/>
      <w:keepLines/>
      <w:jc w:val="center"/>
    </w:pPr>
    <w:rPr>
      <w:rFonts w:ascii="Atkinson Hyperlegible" w:hAnsi="Atkinson Hyperlegible"/>
    </w:rPr>
  </w:style>
  <w:style w:customStyle="1" w:styleId="Abstract" w:type="paragraph">
    <w:name w:val="Abstract"/>
    <w:basedOn w:val="Normal"/>
    <w:next w:val="BodyText"/>
    <w:qFormat/>
    <w:rsid w:val="00641073"/>
    <w:pPr>
      <w:keepNext/>
      <w:keepLines/>
      <w:spacing w:after="300" w:before="300"/>
    </w:pPr>
    <w:rPr>
      <w:rFonts w:cs="Times New Roman (Body CS)"/>
      <w:sz w:val="20"/>
      <w:szCs w:val="20"/>
    </w:rPr>
  </w:style>
  <w:style w:styleId="Bibliography" w:type="paragraph">
    <w:name w:val="Bibliography"/>
    <w:basedOn w:val="Normal"/>
    <w:qFormat/>
    <w:rsid w:val="004C5413"/>
    <w:pPr>
      <w:ind w:hanging="510" w:left="510"/>
    </w:p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left="480" w:right="480"/>
    </w:pPr>
  </w:style>
  <w:style w:styleId="FootnoteText" w:type="paragraph">
    <w:name w:val="footnote text"/>
    <w:basedOn w:val="Normal"/>
    <w:uiPriority w:val="9"/>
    <w:unhideWhenUsed/>
    <w:qFormat/>
    <w:rsid w:val="00E343F9"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rsid w:val="00E343F9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  <w:rsid w:val="00E343F9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rsid w:val="00E343F9"/>
    <w:pPr>
      <w:keepNext/>
    </w:pPr>
  </w:style>
  <w:style w:customStyle="1" w:styleId="ImageCaption" w:type="paragraph">
    <w:name w:val="Image Caption"/>
    <w:basedOn w:val="Caption"/>
    <w:rsid w:val="00E343F9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rPr>
      <w:rFonts w:ascii="Consolas" w:hAnsi="Consolas"/>
      <w:sz w:val="22"/>
    </w:rPr>
  </w:style>
  <w:style w:customStyle="1" w:styleId="SectionNumber" w:type="character">
    <w:name w:val="Section Number"/>
    <w:basedOn w:val="CaptionChar"/>
  </w:style>
  <w:style w:styleId="FootnoteReference" w:type="character">
    <w:name w:val="footnote reference"/>
    <w:basedOn w:val="CaptionChar"/>
    <w:rsid w:val="00E343F9"/>
    <w:rPr>
      <w:vertAlign w:val="superscript"/>
    </w:rPr>
  </w:style>
  <w:style w:styleId="Hyperlink" w:type="character">
    <w:name w:val="Hyperlink"/>
    <w:basedOn w:val="CaptionChar"/>
    <w:rsid w:val="00E343F9"/>
    <w:rPr>
      <w:rFonts w:ascii="Atkinson Hyperlegible" w:hAnsi="Atkinson Hyperlegible"/>
      <w:color w:val="0070C0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hAnsiTheme="majorHAnsi"/>
      <w:b w:val="0"/>
      <w:bCs w:val="0"/>
      <w:color w:themeColor="accent1" w:themeShade="BF" w:val="365F91"/>
    </w:rPr>
  </w:style>
  <w:style w:styleId="FollowedHyperlink" w:type="character">
    <w:name w:val="FollowedHyperlink"/>
    <w:basedOn w:val="DefaultParagraphFont"/>
    <w:semiHidden/>
    <w:unhideWhenUsed/>
    <w:rsid w:val="00641073"/>
    <w:rPr>
      <w:color w:themeColor="followedHyperlink" w:val="800080"/>
      <w:u w:val="single"/>
    </w:rPr>
  </w:style>
  <w:style w:customStyle="1" w:styleId="BodyTextChar" w:type="character">
    <w:name w:val="Body Text Char"/>
    <w:basedOn w:val="DefaultParagraphFont"/>
    <w:link w:val="BodyText"/>
    <w:rsid w:val="00641073"/>
    <w:rPr>
      <w:rFonts w:ascii="Atkinson Hyperlegible" w:hAnsi="Atkinson Hyperlegible"/>
    </w:rPr>
  </w:style>
  <w:style w:styleId="NoteHeading" w:type="paragraph">
    <w:name w:val="Note Heading"/>
    <w:basedOn w:val="Normal"/>
    <w:next w:val="Normal"/>
    <w:link w:val="NoteHeadingChar"/>
    <w:rsid w:val="00CF50C1"/>
    <w:pPr>
      <w:spacing w:after="0"/>
    </w:pPr>
  </w:style>
  <w:style w:customStyle="1" w:styleId="NoteHeadingChar" w:type="character">
    <w:name w:val="Note Heading Char"/>
    <w:basedOn w:val="DefaultParagraphFont"/>
    <w:link w:val="NoteHeading"/>
    <w:rsid w:val="00CF50C1"/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color w:val="5e5e5e"/>
      <w:shd w:val="clear" w:fill="f1f3f5"/>
      <w:i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color w:val="5e5e5e"/>
      <w:shd w:val="clear" w:fill="f1f3f5"/>
      <w:i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color w:val="5e5e5e"/>
      <w:shd w:val="clear" w:fill="f1f3f5"/>
      <w:i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31" Target="media/rId31.png" /><Relationship Type="http://schemas.openxmlformats.org/officeDocument/2006/relationships/image" Id="rId93" Target="media/rId93.png" /><Relationship Type="http://schemas.openxmlformats.org/officeDocument/2006/relationships/image" Id="rId89" Target="media/rId89.png" /><Relationship Type="http://schemas.openxmlformats.org/officeDocument/2006/relationships/image" Id="rId97" Target="media/rId97.png" /><Relationship Type="http://schemas.openxmlformats.org/officeDocument/2006/relationships/image" Id="rId101" Target="media/rId101.png" /><Relationship Type="http://schemas.openxmlformats.org/officeDocument/2006/relationships/image" Id="rId79" Target="media/rId79.png" /><Relationship Type="http://schemas.openxmlformats.org/officeDocument/2006/relationships/image" Id="rId84" Target="media/rId84.png" /><Relationship Type="http://schemas.openxmlformats.org/officeDocument/2006/relationships/image" Id="rId71" Target="media/rId71.png" /><Relationship Type="http://schemas.openxmlformats.org/officeDocument/2006/relationships/image" Id="rId60" Target="media/rId60.png" /><Relationship Type="http://schemas.openxmlformats.org/officeDocument/2006/relationships/image" Id="rId43" Target="media/rId43.png" /><Relationship Type="http://schemas.openxmlformats.org/officeDocument/2006/relationships/image" Id="rId57" Target="media/rId57.png" /><Relationship Type="http://schemas.openxmlformats.org/officeDocument/2006/relationships/image" Id="rId63" Target="media/rId63.png" /><Relationship Type="http://schemas.openxmlformats.org/officeDocument/2006/relationships/image" Id="rId40" Target="media/rId40.png" /><Relationship Type="http://schemas.openxmlformats.org/officeDocument/2006/relationships/hyperlink" Id="rId34" Target="https://browzine.com/libraries/1374/subjects/67/bookcases/169?sort=title" TargetMode="External" /><Relationship Type="http://schemas.openxmlformats.org/officeDocument/2006/relationships/hyperlink" Id="rId52" Target="https://goldpsych.eu.qualtrics.com/jfe/form/SV_ebMllxwNTfXHXRX" TargetMode="External" /><Relationship Type="http://schemas.openxmlformats.org/officeDocument/2006/relationships/hyperlink" Id="rId83" Target="https://hyp.is/L4vR9m9QEe2hne9nNT_AIg/link.springer.com/article/10.1007/s42761-022-00126-5" TargetMode="External" /><Relationship Type="http://schemas.openxmlformats.org/officeDocument/2006/relationships/hyperlink" Id="rId88" Target="https://hyp.is/hvUM3m-KEe26bBOBEKqwUQ/link.springer.com/article/10.1007/s42761-022-00126-5" TargetMode="External" /><Relationship Type="http://schemas.openxmlformats.org/officeDocument/2006/relationships/hyperlink" Id="rId56" Target="https://learningonscreen.ac.uk/ondemand/embed/prog/11ED256E?bcast=127465838" TargetMode="External" /><Relationship Type="http://schemas.openxmlformats.org/officeDocument/2006/relationships/hyperlink" Id="rId37" Target="https://libguides.gold.ac.uk/psychology" TargetMode="External" /><Relationship Type="http://schemas.openxmlformats.org/officeDocument/2006/relationships/hyperlink" Id="rId48" Target="https://researchrabbitapp.com/home" TargetMode="External" /><Relationship Type="http://schemas.openxmlformats.org/officeDocument/2006/relationships/hyperlink" Id="rId50" Target="https://www.annualreviews.org/journal/psych" TargetMode="External" /><Relationship Type="http://schemas.openxmlformats.org/officeDocument/2006/relationships/hyperlink" Id="rId49" Target="https://www.zotero.org/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34" Target="https://browzine.com/libraries/1374/subjects/67/bookcases/169?sort=title" TargetMode="External" /><Relationship Type="http://schemas.openxmlformats.org/officeDocument/2006/relationships/hyperlink" Id="rId52" Target="https://goldpsych.eu.qualtrics.com/jfe/form/SV_ebMllxwNTfXHXRX" TargetMode="External" /><Relationship Type="http://schemas.openxmlformats.org/officeDocument/2006/relationships/hyperlink" Id="rId83" Target="https://hyp.is/L4vR9m9QEe2hne9nNT_AIg/link.springer.com/article/10.1007/s42761-022-00126-5" TargetMode="External" /><Relationship Type="http://schemas.openxmlformats.org/officeDocument/2006/relationships/hyperlink" Id="rId88" Target="https://hyp.is/hvUM3m-KEe26bBOBEKqwUQ/link.springer.com/article/10.1007/s42761-022-00126-5" TargetMode="External" /><Relationship Type="http://schemas.openxmlformats.org/officeDocument/2006/relationships/hyperlink" Id="rId56" Target="https://learningonscreen.ac.uk/ondemand/embed/prog/11ED256E?bcast=127465838" TargetMode="External" /><Relationship Type="http://schemas.openxmlformats.org/officeDocument/2006/relationships/hyperlink" Id="rId37" Target="https://libguides.gold.ac.uk/psychology" TargetMode="External" /><Relationship Type="http://schemas.openxmlformats.org/officeDocument/2006/relationships/hyperlink" Id="rId48" Target="https://researchrabbitapp.com/home" TargetMode="External" /><Relationship Type="http://schemas.openxmlformats.org/officeDocument/2006/relationships/hyperlink" Id="rId50" Target="https://www.annualreviews.org/journal/psych" TargetMode="External" /><Relationship Type="http://schemas.openxmlformats.org/officeDocument/2006/relationships/hyperlink" Id="rId49" Target="https://www.zotero.org/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Deviously Seeking Duping Delight in the Darkness</dc:title>
  <dc:creator>Dr Gordon Wright aka DrDeception</dc:creator>
  <cp:keywords/>
  <dcterms:created xsi:type="dcterms:W3CDTF">2023-10-29T17:38:43Z</dcterms:created>
  <dcterms:modified xsi:type="dcterms:W3CDTF">2023-10-29T17:38:43Z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ibliography">
    <vt:lpwstr>references.bib</vt:lpwstr>
  </property>
  <property fmtid="{D5CDD505-2E9C-101B-9397-08002B2CF9AE}" pid="5" name="by-author">
    <vt:lpwstr/>
  </property>
  <property fmtid="{D5CDD505-2E9C-101B-9397-08002B2CF9AE}" pid="6" name="csl">
    <vt:lpwstr>../apa7.csl</vt:lpwstr>
  </property>
  <property fmtid="{D5CDD505-2E9C-101B-9397-08002B2CF9AE}" pid="7" name="date-format">
    <vt:lpwstr>DD MMMM, YYYY</vt:lpwstr>
  </property>
  <property fmtid="{D5CDD505-2E9C-101B-9397-08002B2CF9AE}" pid="8" name="editor">
    <vt:lpwstr>visual</vt:lpwstr>
  </property>
  <property fmtid="{D5CDD505-2E9C-101B-9397-08002B2CF9AE}" pid="9" name="footer">
    <vt:lpwstr>Practical Issues Week 5 VLE</vt:lpwstr>
  </property>
  <property fmtid="{D5CDD505-2E9C-101B-9397-08002B2CF9AE}" pid="10" name="header-includes">
    <vt:lpwstr/>
  </property>
  <property fmtid="{D5CDD505-2E9C-101B-9397-08002B2CF9AE}" pid="11" name="include-after">
    <vt:lpwstr/>
  </property>
  <property fmtid="{D5CDD505-2E9C-101B-9397-08002B2CF9AE}" pid="12" name="include-before">
    <vt:lpwstr/>
  </property>
  <property fmtid="{D5CDD505-2E9C-101B-9397-08002B2CF9AE}" pid="13" name="labels">
    <vt:lpwstr/>
  </property>
  <property fmtid="{D5CDD505-2E9C-101B-9397-08002B2CF9AE}" pid="14" name="logo">
    <vt:lpwstr>images/LMLLOGO.png</vt:lpwstr>
  </property>
  <property fmtid="{D5CDD505-2E9C-101B-9397-08002B2CF9AE}" pid="15" name="menu">
    <vt:lpwstr>True</vt:lpwstr>
  </property>
  <property fmtid="{D5CDD505-2E9C-101B-9397-08002B2CF9AE}" pid="16" name="modulecode">
    <vt:lpwstr>PS52007D</vt:lpwstr>
  </property>
  <property fmtid="{D5CDD505-2E9C-101B-9397-08002B2CF9AE}" pid="17" name="navigation-mode">
    <vt:lpwstr>linear</vt:lpwstr>
  </property>
  <property fmtid="{D5CDD505-2E9C-101B-9397-08002B2CF9AE}" pid="18" name="subtitle">
    <vt:lpwstr>Welcome to the LittleMonkeyLab</vt:lpwstr>
  </property>
  <property fmtid="{D5CDD505-2E9C-101B-9397-08002B2CF9AE}" pid="19" name="toc-title">
    <vt:lpwstr>Table of contents</vt:lpwstr>
  </property>
</Properties>
</file>