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73.png" ContentType="image/png"/>
  <Override PartName="/word/media/rId31.png" ContentType="image/png"/>
  <Override PartName="/word/media/rId44.png" ContentType="image/png"/>
  <Override PartName="/word/media/rId79.png" ContentType="image/png"/>
  <Override PartName="/word/media/rId47.png" ContentType="image/png"/>
  <Override PartName="/word/media/rId40.png" ContentType="image/png"/>
  <Override PartName="/word/media/rId27.png" ContentType="image/png"/>
  <Override PartName="/word/media/rId83.png" ContentType="image/png"/>
  <Override PartName="/word/media/rId69.png" ContentType="image/png"/>
  <Override PartName="/word/media/rId65.png" ContentType="image/png"/>
  <Override PartName="/word/media/rId36.png" ContentType="image/png"/>
  <Override PartName="/word/media/rId62.png" ContentType="image/png"/>
  <Override PartName="/word/media/rId54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Lecture08</w:t>
      </w:r>
      <w:r>
        <w:t xml:space="preserve"> </w:t>
      </w:r>
      <w:r>
        <w:t xml:space="preserve">Psychometrics</w:t>
      </w:r>
      <w:r>
        <w:t xml:space="preserve"> </w:t>
      </w:r>
      <w:r>
        <w:t xml:space="preserve">-</w:t>
      </w:r>
      <w:r>
        <w:t xml:space="preserve"> </w:t>
      </w:r>
      <w:r>
        <w:t xml:space="preserve">LIVE!</w:t>
      </w:r>
    </w:p>
    <w:p>
      <w:pPr>
        <w:pStyle w:val="Subtitle"/>
      </w:pPr>
      <w:r>
        <w:t xml:space="preserve">I</w:t>
      </w:r>
      <w:r>
        <w:t xml:space="preserve"> </w:t>
      </w:r>
      <w:r>
        <w:t xml:space="preserve">like</w:t>
      </w:r>
      <w:r>
        <w:t xml:space="preserve"> </w:t>
      </w:r>
      <w:r>
        <w:t xml:space="preserve">to</w:t>
      </w:r>
      <w:r>
        <w:t xml:space="preserve"> </w:t>
      </w:r>
      <w:r>
        <w:t xml:space="preserve">develop</w:t>
      </w:r>
      <w:r>
        <w:t xml:space="preserve"> </w:t>
      </w:r>
      <w:r>
        <w:t xml:space="preserve">new</w:t>
      </w:r>
      <w:r>
        <w:t xml:space="preserve"> </w:t>
      </w:r>
      <w:r>
        <w:t xml:space="preserve">measures</w:t>
      </w:r>
      <w:r>
        <w:t xml:space="preserve"> </w:t>
      </w:r>
      <w:r>
        <w:t xml:space="preserve">(Strongly</w:t>
      </w:r>
      <w:r>
        <w:t xml:space="preserve"> </w:t>
      </w:r>
      <w:r>
        <w:t xml:space="preserve">Agree</w:t>
      </w:r>
      <w:r>
        <w:t xml:space="preserve"> </w:t>
      </w:r>
      <w:r>
        <w:t xml:space="preserve">-</w:t>
      </w:r>
      <w:r>
        <w:t xml:space="preserve"> </w:t>
      </w:r>
      <w:r>
        <w:t xml:space="preserve">Strongly</w:t>
      </w:r>
      <w:r>
        <w:t xml:space="preserve"> </w:t>
      </w:r>
      <w:r>
        <w:t xml:space="preserve">Disagree)</w:t>
      </w:r>
    </w:p>
    <w:p>
      <w:pPr>
        <w:pStyle w:val="Author"/>
      </w:pPr>
      <w:r>
        <w:t xml:space="preserve">Dr</w:t>
      </w:r>
      <w:r>
        <w:t xml:space="preserve"> </w:t>
      </w:r>
      <w:r>
        <w:t xml:space="preserve">Gordon</w:t>
      </w:r>
      <w:r>
        <w:t xml:space="preserve"> </w:t>
      </w:r>
      <w:r>
        <w:t xml:space="preserve">Wright</w:t>
      </w:r>
    </w:p>
    <w:bookmarkStart w:id="97" w:name="overview"/>
    <w:p>
      <w:pPr>
        <w:pStyle w:val="Heading1"/>
      </w:pPr>
      <w:r>
        <w:t xml:space="preserve">Overview</w:t>
      </w:r>
    </w:p>
    <w:bookmarkStart w:id="20" w:name="the-week-ahead"/>
    <w:p>
      <w:pPr>
        <w:pStyle w:val="Heading2"/>
      </w:pPr>
      <w:r>
        <w:t xml:space="preserve">The week ahead</w:t>
      </w:r>
    </w:p>
    <w:p>
      <w:pPr>
        <w:pStyle w:val="FirstParagraph"/>
      </w:pPr>
      <w:r>
        <w:t xml:space="preserve">The week ahead (week 8)</w:t>
      </w:r>
    </w:p>
    <w:p>
      <w:pPr>
        <w:numPr>
          <w:ilvl w:val="0"/>
          <w:numId w:val="1001"/>
        </w:numPr>
        <w:pStyle w:val="Compact"/>
      </w:pPr>
      <w:r>
        <w:t xml:space="preserve">PS52005C Design &amp; Analysis Quiz 2 Due: 10am 16th December (week 10)</w:t>
      </w:r>
    </w:p>
    <w:p>
      <w:pPr>
        <w:numPr>
          <w:ilvl w:val="0"/>
          <w:numId w:val="1001"/>
        </w:numPr>
        <w:pStyle w:val="Compact"/>
      </w:pPr>
      <w:r>
        <w:t xml:space="preserve">W8 Personal Tutor session on feedback</w:t>
      </w:r>
    </w:p>
    <w:p>
      <w:pPr>
        <w:numPr>
          <w:ilvl w:val="0"/>
          <w:numId w:val="1001"/>
        </w:numPr>
        <w:pStyle w:val="Compact"/>
      </w:pPr>
      <w:r>
        <w:t xml:space="preserve">W9 Making the most of Goldsmiths Psych</w:t>
      </w:r>
    </w:p>
    <w:p>
      <w:pPr>
        <w:numPr>
          <w:ilvl w:val="0"/>
          <w:numId w:val="1001"/>
        </w:numPr>
        <w:pStyle w:val="Compact"/>
      </w:pPr>
      <w:r>
        <w:t xml:space="preserve">W10 Cognitive Essay Tutorial</w:t>
      </w:r>
    </w:p>
    <w:p>
      <w:pPr>
        <w:numPr>
          <w:ilvl w:val="0"/>
          <w:numId w:val="1001"/>
        </w:numPr>
        <w:pStyle w:val="Compact"/>
      </w:pPr>
      <w:r>
        <w:t xml:space="preserve">Strike day 3/3 - 30th (Wed)</w:t>
      </w:r>
    </w:p>
    <w:p>
      <w:pPr>
        <w:numPr>
          <w:ilvl w:val="0"/>
          <w:numId w:val="1001"/>
        </w:numPr>
        <w:pStyle w:val="Compact"/>
      </w:pPr>
      <w:r>
        <w:t xml:space="preserve">Labs - Ongoing task development and Ethics applications</w:t>
      </w:r>
    </w:p>
    <w:bookmarkEnd w:id="20"/>
    <w:bookmarkStart w:id="21" w:name="X9c46ef0a0ab1805c1ef7f6982c693c6788cd981"/>
    <w:p>
      <w:pPr>
        <w:pStyle w:val="Heading2"/>
      </w:pPr>
      <w:r>
        <w:t xml:space="preserve">Who’d like to do some free-style Psychometrics?</w:t>
      </w:r>
    </w:p>
    <w:p>
      <w:pPr>
        <w:pStyle w:val="FirstParagraph"/>
      </w:pPr>
      <w:r>
        <w:t xml:space="preserve">Hands up for</w:t>
      </w:r>
      <w:r>
        <w:t xml:space="preserve"> </w:t>
      </w:r>
      <w:r>
        <w:t xml:space="preserve">“</w:t>
      </w:r>
      <w:r>
        <w:t xml:space="preserve">Yes</w:t>
      </w:r>
      <w:r>
        <w:t xml:space="preserve">”</w:t>
      </w:r>
    </w:p>
    <w:p>
      <w:pPr>
        <w:pStyle w:val="BodyText"/>
      </w:pPr>
      <w:r>
        <w:t xml:space="preserve">(in which case I’ll re-record the lecture)</w:t>
      </w:r>
    </w:p>
    <w:p>
      <w:pPr>
        <w:pStyle w:val="BodyText"/>
      </w:pPr>
      <w:r>
        <w:rPr>
          <w:bCs/>
          <w:b/>
        </w:rPr>
        <w:t xml:space="preserve">Will involve participation</w:t>
      </w:r>
    </w:p>
    <w:p>
      <w:pPr>
        <w:pStyle w:val="BodyText"/>
      </w:pPr>
      <w:r>
        <w:t xml:space="preserve">We can run this in-class exercise and if you want, I’ll apply for ethics</w:t>
      </w:r>
      <w:r>
        <w:t xml:space="preserve"> </w:t>
      </w:r>
      <w:r>
        <w:t xml:space="preserve">to do the thing properly over the coming weeks. Could be publishable.</w:t>
      </w:r>
    </w:p>
    <w:bookmarkEnd w:id="21"/>
    <w:bookmarkStart w:id="22" w:name="heres-an-idea"/>
    <w:p>
      <w:pPr>
        <w:pStyle w:val="Heading2"/>
      </w:pPr>
      <w:r>
        <w:t xml:space="preserve">Here’s an idea…</w:t>
      </w:r>
    </w:p>
    <w:p>
      <w:pPr>
        <w:pStyle w:val="FirstParagraph"/>
      </w:pPr>
      <w:r>
        <w:t xml:space="preserve">A psychological measure of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t xml:space="preserve">X</w:t>
      </w:r>
    </w:p>
    <w:bookmarkEnd w:id="22"/>
    <w:bookmarkStart w:id="23" w:name="X33e96a4776ee34783e6676d7513bb27a0068c60"/>
    <w:p>
      <w:pPr>
        <w:pStyle w:val="Heading2"/>
      </w:pPr>
      <w:r>
        <w:t xml:space="preserve">If you are up for it, we can start the first two steps</w:t>
      </w:r>
    </w:p>
    <w:p>
      <w:pPr>
        <w:numPr>
          <w:ilvl w:val="0"/>
          <w:numId w:val="1002"/>
        </w:numPr>
      </w:pPr>
      <w:r>
        <w:t xml:space="preserve">Articulate the construct and the context</w:t>
      </w:r>
    </w:p>
    <w:p>
      <w:pPr>
        <w:numPr>
          <w:ilvl w:val="0"/>
          <w:numId w:val="1002"/>
        </w:numPr>
      </w:pPr>
      <w:r>
        <w:t xml:space="preserve">Assemble items and decide on response format</w:t>
      </w:r>
    </w:p>
    <w:p>
      <w:pPr>
        <w:numPr>
          <w:ilvl w:val="0"/>
          <w:numId w:val="1002"/>
        </w:numPr>
      </w:pPr>
      <w:r>
        <w:t xml:space="preserve">Data collection</w:t>
      </w:r>
    </w:p>
    <w:p>
      <w:pPr>
        <w:numPr>
          <w:ilvl w:val="0"/>
          <w:numId w:val="1002"/>
        </w:numPr>
      </w:pPr>
      <w:r>
        <w:t xml:space="preserve">Assess Psychometric properties</w:t>
      </w:r>
    </w:p>
    <w:bookmarkEnd w:id="23"/>
    <w:bookmarkStart w:id="24" w:name="or-lets-just-do-the-lecture"/>
    <w:p>
      <w:pPr>
        <w:pStyle w:val="Heading2"/>
      </w:pPr>
      <w:r>
        <w:t xml:space="preserve">Or let’s just do the lecture…</w:t>
      </w:r>
    </w:p>
    <w:p>
      <w:pPr>
        <w:pStyle w:val="FirstParagraph"/>
      </w:pPr>
      <w:r>
        <w:t xml:space="preserve">Your call!</w:t>
      </w:r>
    </w:p>
    <w:bookmarkEnd w:id="24"/>
    <w:bookmarkStart w:id="25" w:name="Xd9fe4c9148b148d7d975a3ced2069a8f37ac0d5"/>
    <w:p>
      <w:pPr>
        <w:pStyle w:val="Heading2"/>
      </w:pPr>
      <w:r>
        <w:t xml:space="preserve">Psychometrics - Not as boring as you might think…</w:t>
      </w:r>
    </w:p>
    <w:p>
      <w:pPr>
        <w:pStyle w:val="FirstParagraph"/>
      </w:pPr>
      <w:r>
        <w:t xml:space="preserve">Psychological</w:t>
      </w:r>
      <w:r>
        <w:t xml:space="preserve"> </w:t>
      </w:r>
      <w:r>
        <w:t xml:space="preserve">‘</w:t>
      </w:r>
      <w:r>
        <w:t xml:space="preserve">constructs</w:t>
      </w:r>
      <w:r>
        <w:t xml:space="preserve">’</w:t>
      </w:r>
      <w:r>
        <w:t xml:space="preserve"> </w:t>
      </w:r>
      <w:r>
        <w:t xml:space="preserve">are tricky to pin down</w:t>
      </w:r>
    </w:p>
    <w:p>
      <w:pPr>
        <w:pStyle w:val="BodyText"/>
      </w:pPr>
      <w:r>
        <w:t xml:space="preserve">May differ from</w:t>
      </w:r>
      <w:r>
        <w:t xml:space="preserve"> </w:t>
      </w:r>
      <w:r>
        <w:t xml:space="preserve">‘</w:t>
      </w:r>
      <w:r>
        <w:t xml:space="preserve">naive</w:t>
      </w:r>
      <w:r>
        <w:t xml:space="preserve">’</w:t>
      </w:r>
      <w:r>
        <w:t xml:space="preserve"> </w:t>
      </w:r>
      <w:r>
        <w:t xml:space="preserve">understanding</w:t>
      </w:r>
    </w:p>
    <w:p>
      <w:pPr>
        <w:numPr>
          <w:ilvl w:val="0"/>
          <w:numId w:val="1003"/>
        </w:numPr>
      </w:pPr>
      <w:r>
        <w:t xml:space="preserve">Consider</w:t>
      </w:r>
      <w:r>
        <w:t xml:space="preserve"> </w:t>
      </w:r>
      <w:r>
        <w:t xml:space="preserve">‘</w:t>
      </w:r>
      <w:r>
        <w:t xml:space="preserve">Intelligence</w:t>
      </w:r>
      <w:r>
        <w:t xml:space="preserve">’</w:t>
      </w:r>
      <w:r>
        <w:t xml:space="preserve"> </w:t>
      </w:r>
      <w:r>
        <w:t xml:space="preserve">and</w:t>
      </w:r>
      <w:r>
        <w:t xml:space="preserve"> </w:t>
      </w:r>
      <w:r>
        <w:t xml:space="preserve">‘</w:t>
      </w:r>
      <w:r>
        <w:t xml:space="preserve">Empathy</w:t>
      </w:r>
      <w:r>
        <w:t xml:space="preserve">’</w:t>
      </w:r>
    </w:p>
    <w:p>
      <w:pPr>
        <w:numPr>
          <w:ilvl w:val="0"/>
          <w:numId w:val="1003"/>
        </w:numPr>
      </w:pPr>
      <w:r>
        <w:t xml:space="preserve">What about Personality?</w:t>
      </w:r>
    </w:p>
    <w:bookmarkEnd w:id="25"/>
    <w:bookmarkStart w:id="30" w:name="ten-item-personality-inventory-tipi"/>
    <w:p>
      <w:pPr>
        <w:pStyle w:val="Heading2"/>
      </w:pPr>
      <w:r>
        <w:t xml:space="preserve">Ten Item Personality Inventory (TIPI)</w:t>
      </w:r>
    </w:p>
    <w:p>
      <w:pPr>
        <w:pStyle w:val="FirstParagraph"/>
      </w:pPr>
      <w:r>
        <w:t xml:space="preserve">Gosling et al. (2003)</w:t>
      </w:r>
    </w:p>
    <w:p>
      <w:pPr>
        <w:pStyle w:val="BodyText"/>
      </w:pPr>
      <w:hyperlink r:id="rId26">
        <w:r>
          <w:rPr>
            <w:rStyle w:val="Hyperlink"/>
          </w:rPr>
          <w:t xml:space="preserve">https://gosling.psy.utexas.edu/scales-weve-developed/ten-item-personality-measure-tipi/</w:t>
        </w:r>
      </w:hyperlink>
    </w:p>
    <w:p>
      <w:pPr>
        <w:pStyle w:val="BodyText"/>
      </w:pPr>
      <w:r>
        <w:drawing>
          <wp:inline>
            <wp:extent cx="5943600" cy="3145722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images/paste-6408725A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57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Start w:id="34" w:name="tipi-scoring"/>
    <w:p>
      <w:pPr>
        <w:pStyle w:val="Heading2"/>
      </w:pPr>
      <w:r>
        <w:t xml:space="preserve">TIPI Scoring</w:t>
      </w:r>
    </w:p>
    <w:p>
      <w:pPr>
        <w:pStyle w:val="FirstParagraph"/>
      </w:pPr>
      <w:r>
        <w:drawing>
          <wp:inline>
            <wp:extent cx="5943600" cy="1052512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images/paste-10BC4E44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25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4"/>
    <w:bookmarkStart w:id="39" w:name="X522e51e3c1beddfeef0e758be0f7dc5eb765008"/>
    <w:p>
      <w:pPr>
        <w:pStyle w:val="Heading2"/>
      </w:pPr>
      <w:r>
        <w:t xml:space="preserve">The</w:t>
      </w:r>
      <w:r>
        <w:t xml:space="preserve"> </w:t>
      </w:r>
      <w:r>
        <w:rPr>
          <w:bCs/>
          <w:b/>
        </w:rPr>
        <w:t xml:space="preserve">International Personality Item Pool (</w:t>
      </w:r>
      <w:r>
        <w:t xml:space="preserve">IPIP)</w:t>
      </w:r>
    </w:p>
    <w:p>
      <w:pPr>
        <w:pStyle w:val="FirstParagraph"/>
      </w:pPr>
      <w:hyperlink r:id="rId35">
        <w:r>
          <w:rPr>
            <w:rStyle w:val="Hyperlink"/>
          </w:rPr>
          <w:t xml:space="preserve">https://ipip.ori.org/</w:t>
        </w:r>
      </w:hyperlink>
    </w:p>
    <w:p>
      <w:pPr>
        <w:pStyle w:val="BodyText"/>
      </w:pPr>
      <w:r>
        <w:drawing>
          <wp:inline>
            <wp:extent cx="5943600" cy="3030376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images/paste-9D7CAB8A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03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9"/>
    <w:bookmarkStart w:id="43" w:name="go-crazy"/>
    <w:p>
      <w:pPr>
        <w:pStyle w:val="Heading2"/>
      </w:pPr>
      <w:r>
        <w:t xml:space="preserve">Go crazy!</w:t>
      </w:r>
    </w:p>
    <w:p>
      <w:pPr>
        <w:pStyle w:val="FirstParagraph"/>
      </w:pPr>
      <w:r>
        <w:drawing>
          <wp:inline>
            <wp:extent cx="5943600" cy="1797601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images/paste-419C03F5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76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"/>
    <w:bookmarkStart w:id="50" w:name="X8d75e72528a38a25c6f4aefa94d194084cc135e"/>
    <w:p>
      <w:pPr>
        <w:pStyle w:val="Heading2"/>
      </w:pPr>
      <w:r>
        <w:t xml:space="preserve">Two measures for ADHD (Span et al., 2002 &amp; IPIP)</w:t>
      </w:r>
    </w:p>
    <w:p>
      <w:pPr>
        <w:pStyle w:val="FirstParagraph"/>
      </w:pPr>
      <w:r>
        <w:drawing>
          <wp:inline>
            <wp:extent cx="5943600" cy="3334636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images/paste-28007C82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46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810000" cy="2846346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images/paste-3A6409F5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463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Span et al. (2002)</w:t>
      </w:r>
    </w:p>
    <w:p>
      <w:pPr>
        <w:pStyle w:val="BodyText"/>
      </w:pPr>
      <w:r>
        <w:t xml:space="preserve">An incredibly valuable resource and a lovely way in to new topic areas!</w:t>
      </w:r>
    </w:p>
    <w:bookmarkEnd w:id="50"/>
    <w:bookmarkStart w:id="51" w:name="the-challenge-of-measurement"/>
    <w:p>
      <w:pPr>
        <w:pStyle w:val="Heading2"/>
      </w:pPr>
      <w:r>
        <w:t xml:space="preserve">The challenge of measurement</w:t>
      </w:r>
    </w:p>
    <w:p>
      <w:pPr>
        <w:numPr>
          <w:ilvl w:val="0"/>
          <w:numId w:val="1004"/>
        </w:numPr>
        <w:pStyle w:val="Compact"/>
      </w:pPr>
      <w:r>
        <w:t xml:space="preserve">To do it requires a clear understanding of the concept in question</w:t>
      </w:r>
    </w:p>
    <w:p>
      <w:pPr>
        <w:numPr>
          <w:ilvl w:val="0"/>
          <w:numId w:val="1004"/>
        </w:numPr>
        <w:pStyle w:val="Compact"/>
      </w:pPr>
      <w:r>
        <w:t xml:space="preserve">You need technical skills and some friends</w:t>
      </w:r>
    </w:p>
    <w:p>
      <w:pPr>
        <w:numPr>
          <w:ilvl w:val="0"/>
          <w:numId w:val="1004"/>
        </w:numPr>
        <w:pStyle w:val="Compact"/>
      </w:pPr>
      <w:r>
        <w:t xml:space="preserve">You need to be creative and thoughtful</w:t>
      </w:r>
    </w:p>
    <w:p>
      <w:pPr>
        <w:numPr>
          <w:ilvl w:val="0"/>
          <w:numId w:val="1004"/>
        </w:numPr>
        <w:pStyle w:val="Compact"/>
      </w:pPr>
      <w:r>
        <w:t xml:space="preserve">It’s research in itself, OR, a step required to do novel research!</w:t>
      </w:r>
    </w:p>
    <w:p>
      <w:pPr>
        <w:numPr>
          <w:ilvl w:val="0"/>
          <w:numId w:val="1004"/>
        </w:numPr>
        <w:pStyle w:val="Compact"/>
      </w:pPr>
      <w:r>
        <w:t xml:space="preserve">Fascinating concepts</w:t>
      </w:r>
      <w:r>
        <w:t xml:space="preserve"> </w:t>
      </w:r>
      <w:r>
        <w:rPr>
          <w:iCs/>
          <w:i/>
        </w:rPr>
        <w:t xml:space="preserve">when seen in practice!</w:t>
      </w:r>
    </w:p>
    <w:bookmarkEnd w:id="51"/>
    <w:bookmarkStart w:id="52" w:name="key-steps-to-scale-construction"/>
    <w:p>
      <w:pPr>
        <w:pStyle w:val="Heading2"/>
      </w:pPr>
      <w:r>
        <w:t xml:space="preserve">4 key steps to scale construction</w:t>
      </w:r>
    </w:p>
    <w:p>
      <w:pPr>
        <w:numPr>
          <w:ilvl w:val="0"/>
          <w:numId w:val="1005"/>
        </w:numPr>
      </w:pPr>
      <w:r>
        <w:t xml:space="preserve">Articulate the construct and the context</w:t>
      </w:r>
    </w:p>
    <w:p>
      <w:pPr>
        <w:numPr>
          <w:ilvl w:val="0"/>
          <w:numId w:val="1005"/>
        </w:numPr>
      </w:pPr>
      <w:r>
        <w:t xml:space="preserve">Assemble items and decide on response format</w:t>
      </w:r>
    </w:p>
    <w:p>
      <w:pPr>
        <w:numPr>
          <w:ilvl w:val="0"/>
          <w:numId w:val="1005"/>
        </w:numPr>
      </w:pPr>
      <w:r>
        <w:t xml:space="preserve">Data collection</w:t>
      </w:r>
    </w:p>
    <w:p>
      <w:pPr>
        <w:numPr>
          <w:ilvl w:val="0"/>
          <w:numId w:val="1005"/>
        </w:numPr>
      </w:pPr>
      <w:r>
        <w:t xml:space="preserve">Assess Psychometric properties</w:t>
      </w:r>
    </w:p>
    <w:bookmarkEnd w:id="52"/>
    <w:bookmarkStart w:id="53" w:name="articulate-the-construct-and-the-context"/>
    <w:p>
      <w:pPr>
        <w:pStyle w:val="Heading2"/>
      </w:pPr>
      <w:r>
        <w:t xml:space="preserve">1. Articulate the construct and the context</w:t>
      </w:r>
    </w:p>
    <w:p>
      <w:pPr>
        <w:pStyle w:val="FirstParagraph"/>
      </w:pPr>
      <w:r>
        <w:t xml:space="preserve">What are we measuring and how do we conceptualise it?</w:t>
      </w:r>
    </w:p>
    <w:p>
      <w:pPr>
        <w:pStyle w:val="BodyText"/>
      </w:pPr>
      <w:r>
        <w:t xml:space="preserve">In what context is the construct displayed?</w:t>
      </w:r>
    </w:p>
    <w:p>
      <w:pPr>
        <w:pStyle w:val="BodyText"/>
      </w:pPr>
      <w:r>
        <w:t xml:space="preserve">Is it</w:t>
      </w:r>
      <w:r>
        <w:t xml:space="preserve"> </w:t>
      </w:r>
      <w:r>
        <w:t xml:space="preserve">‘</w:t>
      </w:r>
      <w:r>
        <w:t xml:space="preserve">unitary</w:t>
      </w:r>
      <w:r>
        <w:t xml:space="preserve">’</w:t>
      </w:r>
      <w:r>
        <w:t xml:space="preserve"> </w:t>
      </w:r>
      <w:r>
        <w:t xml:space="preserve">or</w:t>
      </w:r>
      <w:r>
        <w:t xml:space="preserve"> </w:t>
      </w:r>
      <w:r>
        <w:t xml:space="preserve">‘</w:t>
      </w:r>
      <w:r>
        <w:t xml:space="preserve">multidimensional</w:t>
      </w:r>
      <w:r>
        <w:t xml:space="preserve">’</w:t>
      </w:r>
      <w:r>
        <w:t xml:space="preserve">?</w:t>
      </w:r>
    </w:p>
    <w:bookmarkEnd w:id="53"/>
    <w:bookmarkStart w:id="57" w:name="X026f7ec212f1e404923a90273ca72552f47fde0"/>
    <w:p>
      <w:pPr>
        <w:pStyle w:val="Heading2"/>
      </w:pPr>
      <w:r>
        <w:t xml:space="preserve">1.b Dimensionality (or Factors, Sub-scales, Facets)</w:t>
      </w:r>
    </w:p>
    <w:p>
      <w:pPr>
        <w:pStyle w:val="FirstParagraph"/>
      </w:pPr>
      <w:r>
        <w:drawing>
          <wp:inline>
            <wp:extent cx="5943600" cy="4328864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images/paste-D1544C5F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88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7"/>
    <w:bookmarkStart w:id="58" w:name="a.-assemble-items"/>
    <w:p>
      <w:pPr>
        <w:pStyle w:val="Heading2"/>
      </w:pPr>
      <w:r>
        <w:t xml:space="preserve">2a. Assemble items</w:t>
      </w:r>
    </w:p>
    <w:p>
      <w:pPr>
        <w:pStyle w:val="FirstParagraph"/>
      </w:pPr>
      <w:r>
        <w:t xml:space="preserve">Either write items or</w:t>
      </w:r>
      <w:r>
        <w:t xml:space="preserve"> </w:t>
      </w:r>
      <w:r>
        <w:t xml:space="preserve">‘</w:t>
      </w:r>
      <w:r>
        <w:t xml:space="preserve">find</w:t>
      </w:r>
      <w:r>
        <w:t xml:space="preserve">’</w:t>
      </w:r>
      <w:r>
        <w:t xml:space="preserve"> </w:t>
      </w:r>
      <w:r>
        <w:t xml:space="preserve">items.</w:t>
      </w:r>
    </w:p>
    <w:p>
      <w:pPr>
        <w:numPr>
          <w:ilvl w:val="0"/>
          <w:numId w:val="1006"/>
        </w:numPr>
      </w:pPr>
      <w:r>
        <w:t xml:space="preserve">e.g. The lexical approach to personality</w:t>
      </w:r>
    </w:p>
    <w:p>
      <w:pPr>
        <w:numPr>
          <w:ilvl w:val="0"/>
          <w:numId w:val="1006"/>
        </w:numPr>
      </w:pPr>
      <w:r>
        <w:t xml:space="preserve">or the Delphi Technique (Expert Opinions e.g. Clinicians)</w:t>
      </w:r>
    </w:p>
    <w:p>
      <w:pPr>
        <w:numPr>
          <w:ilvl w:val="0"/>
          <w:numId w:val="1006"/>
        </w:numPr>
      </w:pPr>
      <w:r>
        <w:t xml:space="preserve">Previous scales or items (other research</w:t>
      </w:r>
    </w:p>
    <w:p>
      <w:pPr>
        <w:numPr>
          <w:ilvl w:val="0"/>
          <w:numId w:val="1006"/>
        </w:numPr>
      </w:pPr>
      <w:r>
        <w:t xml:space="preserve">Talk to the target population/observation</w:t>
      </w:r>
    </w:p>
    <w:bookmarkEnd w:id="58"/>
    <w:bookmarkStart w:id="59" w:name="b.-response-format"/>
    <w:p>
      <w:pPr>
        <w:pStyle w:val="Heading2"/>
      </w:pPr>
      <w:r>
        <w:t xml:space="preserve">2b. Response format</w:t>
      </w:r>
    </w:p>
    <w:p>
      <w:pPr>
        <w:pStyle w:val="FirstParagraph"/>
      </w:pPr>
      <w:r>
        <w:t xml:space="preserve">There are options</w:t>
      </w:r>
    </w:p>
    <w:p>
      <w:pPr>
        <w:numPr>
          <w:ilvl w:val="0"/>
          <w:numId w:val="1007"/>
        </w:numPr>
      </w:pPr>
      <w:r>
        <w:rPr>
          <w:bCs/>
          <w:b/>
        </w:rPr>
        <w:t xml:space="preserve">Likert Scales</w:t>
      </w:r>
      <w:r>
        <w:t xml:space="preserve"> </w:t>
      </w:r>
      <w:r>
        <w:t xml:space="preserve">(To what extent do you agree with SD - NAND -SA)</w:t>
      </w:r>
    </w:p>
    <w:p>
      <w:pPr>
        <w:numPr>
          <w:ilvl w:val="0"/>
          <w:numId w:val="1007"/>
        </w:numPr>
      </w:pPr>
      <w:r>
        <w:rPr>
          <w:bCs/>
          <w:b/>
        </w:rPr>
        <w:t xml:space="preserve">Rating Scale</w:t>
      </w:r>
      <w:r>
        <w:t xml:space="preserve"> </w:t>
      </w:r>
      <w:r>
        <w:t xml:space="preserve">(On a scale of 1-7 how x are you?)</w:t>
      </w:r>
    </w:p>
    <w:p>
      <w:pPr>
        <w:numPr>
          <w:ilvl w:val="0"/>
          <w:numId w:val="1007"/>
        </w:numPr>
      </w:pPr>
      <w:r>
        <w:rPr>
          <w:bCs/>
          <w:b/>
        </w:rPr>
        <w:t xml:space="preserve">Forced Choice</w:t>
      </w:r>
      <w:r>
        <w:t xml:space="preserve"> </w:t>
      </w:r>
      <w:r>
        <w:t xml:space="preserve">(a - Modesty doesn’t become me. b - I am</w:t>
      </w:r>
      <w:r>
        <w:t xml:space="preserve"> </w:t>
      </w:r>
      <w:r>
        <w:t xml:space="preserve">essentially a modest person)</w:t>
      </w:r>
    </w:p>
    <w:p>
      <w:pPr>
        <w:numPr>
          <w:ilvl w:val="0"/>
          <w:numId w:val="1007"/>
        </w:numPr>
      </w:pPr>
      <w:r>
        <w:rPr>
          <w:bCs/>
          <w:b/>
        </w:rPr>
        <w:t xml:space="preserve">Semantic differential</w:t>
      </w:r>
      <w:r>
        <w:t xml:space="preserve"> </w:t>
      </w:r>
      <w:r>
        <w:t xml:space="preserve">(Healthy —— Unhealthy)</w:t>
      </w:r>
    </w:p>
    <w:bookmarkEnd w:id="59"/>
    <w:bookmarkStart w:id="60" w:name="c-response-choices"/>
    <w:p>
      <w:pPr>
        <w:pStyle w:val="Heading2"/>
      </w:pPr>
      <w:r>
        <w:t xml:space="preserve">2.c Response choices</w:t>
      </w:r>
    </w:p>
    <w:p>
      <w:pPr>
        <w:numPr>
          <w:ilvl w:val="0"/>
          <w:numId w:val="1008"/>
        </w:numPr>
      </w:pPr>
      <w:r>
        <w:rPr>
          <w:bCs/>
          <w:b/>
        </w:rPr>
        <w:t xml:space="preserve">Options</w:t>
      </w:r>
      <w:r>
        <w:t xml:space="preserve"> </w:t>
      </w:r>
      <w:r>
        <w:t xml:space="preserve">(True False, 7 point)</w:t>
      </w:r>
    </w:p>
    <w:p>
      <w:pPr>
        <w:numPr>
          <w:ilvl w:val="0"/>
          <w:numId w:val="1008"/>
        </w:numPr>
      </w:pPr>
      <w:r>
        <w:rPr>
          <w:bCs/>
          <w:b/>
        </w:rPr>
        <w:t xml:space="preserve">Labels/anchors</w:t>
      </w:r>
      <w:r>
        <w:t xml:space="preserve"> </w:t>
      </w:r>
      <w:r>
        <w:t xml:space="preserve">(What is the midpoint?)</w:t>
      </w:r>
    </w:p>
    <w:p>
      <w:pPr>
        <w:numPr>
          <w:ilvl w:val="0"/>
          <w:numId w:val="1008"/>
        </w:numPr>
      </w:pPr>
      <w:r>
        <w:rPr>
          <w:bCs/>
          <w:b/>
        </w:rPr>
        <w:t xml:space="preserve">Mid-points</w:t>
      </w:r>
      <w:r>
        <w:t xml:space="preserve"> </w:t>
      </w:r>
      <w:r>
        <w:t xml:space="preserve">(4 item or 5, Don’t know, N/A, No opinion)</w:t>
      </w:r>
    </w:p>
    <w:p>
      <w:pPr>
        <w:numPr>
          <w:ilvl w:val="0"/>
          <w:numId w:val="1008"/>
        </w:numPr>
      </w:pPr>
      <w:r>
        <w:rPr>
          <w:bCs/>
          <w:b/>
        </w:rPr>
        <w:t xml:space="preserve">Consistency of response across items</w:t>
      </w:r>
    </w:p>
    <w:bookmarkEnd w:id="60"/>
    <w:bookmarkStart w:id="61" w:name="X87c0a1be753d99f38495231d8a6524a0b6f5c4d"/>
    <w:p>
      <w:pPr>
        <w:pStyle w:val="Heading2"/>
      </w:pPr>
      <w:r>
        <w:t xml:space="preserve">Likert Scales (1) (Lick-ert) and Likert-type rating scales (2&amp;3)</w:t>
      </w:r>
    </w:p>
    <w:bookmarkEnd w:id="61"/>
    <w:bookmarkStart w:id="68" w:name="there-are-other-scale-types"/>
    <w:p>
      <w:pPr>
        <w:pStyle w:val="Heading2"/>
      </w:pPr>
      <w:r>
        <w:drawing>
          <wp:inline>
            <wp:extent cx="5943600" cy="1708447"/>
            <wp:effectExtent b="0" l="0" r="0" t="0"/>
            <wp:docPr descr="" title="" id="63" name="Picture"/>
            <a:graphic>
              <a:graphicData uri="http://schemas.openxmlformats.org/drawingml/2006/picture">
                <pic:pic>
                  <pic:nvPicPr>
                    <pic:cNvPr descr="images/paste-AEDC3AA8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84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There are other scale types!</w:t>
      </w:r>
    </w:p>
    <w:p>
      <w:pPr>
        <w:pStyle w:val="FirstParagraph"/>
      </w:pPr>
      <w:r>
        <w:drawing>
          <wp:inline>
            <wp:extent cx="5943600" cy="2922936"/>
            <wp:effectExtent b="0" l="0" r="0" t="0"/>
            <wp:docPr descr="" title="" id="66" name="Picture"/>
            <a:graphic>
              <a:graphicData uri="http://schemas.openxmlformats.org/drawingml/2006/picture">
                <pic:pic>
                  <pic:nvPicPr>
                    <pic:cNvPr descr="images/paste-84F98ECC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29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8"/>
    <w:bookmarkStart w:id="72" w:name="Xc3a3c1e514dcb48bcc32af08bc05413245ca8e6"/>
    <w:p>
      <w:pPr>
        <w:pStyle w:val="Heading2"/>
      </w:pPr>
      <w:r>
        <w:rPr>
          <w:bCs/>
          <w:b/>
        </w:rPr>
        <w:t xml:space="preserve">BRUSO Model of Writing Effective Questionnaire Items</w:t>
      </w:r>
    </w:p>
    <w:p>
      <w:pPr>
        <w:pStyle w:val="FirstParagraph"/>
      </w:pPr>
      <w:r>
        <w:t xml:space="preserve">An acronym that stands for</w:t>
      </w:r>
      <w:r>
        <w:t xml:space="preserve"> </w:t>
      </w:r>
      <w:r>
        <w:t xml:space="preserve">“</w:t>
      </w:r>
      <w:r>
        <w:t xml:space="preserve">Brief,</w:t>
      </w:r>
      <w:r>
        <w:t xml:space="preserve">”</w:t>
      </w:r>
      <w:r>
        <w:t xml:space="preserve"> </w:t>
      </w:r>
      <w:r>
        <w:t xml:space="preserve">“</w:t>
      </w:r>
      <w:r>
        <w:t xml:space="preserve">Relevant,</w:t>
      </w:r>
      <w:r>
        <w:t xml:space="preserve">”</w:t>
      </w:r>
      <w:r>
        <w:t xml:space="preserve"> </w:t>
      </w:r>
      <w:r>
        <w:t xml:space="preserve">“</w:t>
      </w:r>
      <w:r>
        <w:t xml:space="preserve">Unambiguous,</w:t>
      </w:r>
      <w:r>
        <w:t xml:space="preserve">”</w:t>
      </w:r>
      <w:r>
        <w:t xml:space="preserve"> </w:t>
      </w:r>
      <w:r>
        <w:t xml:space="preserve">“</w:t>
      </w:r>
      <w:r>
        <w:t xml:space="preserve">Specific,</w:t>
      </w:r>
      <w:r>
        <w:t xml:space="preserve">”</w:t>
      </w:r>
      <w:r>
        <w:t xml:space="preserve"> </w:t>
      </w:r>
      <w:r>
        <w:t xml:space="preserve">and</w:t>
      </w:r>
      <w:r>
        <w:t xml:space="preserve"> </w:t>
      </w:r>
      <w:r>
        <w:t xml:space="preserve">“</w:t>
      </w:r>
      <w:r>
        <w:t xml:space="preserve">Objective,</w:t>
      </w:r>
      <w:r>
        <w:t xml:space="preserve">”</w:t>
      </w:r>
    </w:p>
    <w:p>
      <w:pPr>
        <w:pStyle w:val="BodyText"/>
      </w:pPr>
      <w:r>
        <w:drawing>
          <wp:inline>
            <wp:extent cx="5646420" cy="1769347"/>
            <wp:effectExtent b="0" l="0" r="0" t="0"/>
            <wp:docPr descr="" title="" id="70" name="Picture"/>
            <a:graphic>
              <a:graphicData uri="http://schemas.openxmlformats.org/drawingml/2006/picture">
                <pic:pic>
                  <pic:nvPicPr>
                    <pic:cNvPr descr="images/paste-80B928CF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17693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Peterson (2000)</w:t>
      </w:r>
    </w:p>
    <w:bookmarkEnd w:id="72"/>
    <w:bookmarkStart w:id="76" w:name="unsuccessful-items"/>
    <w:p>
      <w:pPr>
        <w:pStyle w:val="Heading2"/>
      </w:pPr>
      <w:r>
        <w:t xml:space="preserve">Unsuccessful items</w:t>
      </w:r>
    </w:p>
    <w:p>
      <w:pPr>
        <w:pStyle w:val="FirstParagraph"/>
      </w:pPr>
      <w:r>
        <w:drawing>
          <wp:inline>
            <wp:extent cx="5943600" cy="2185944"/>
            <wp:effectExtent b="0" l="0" r="0" t="0"/>
            <wp:docPr descr="" title="" id="74" name="Picture"/>
            <a:graphic>
              <a:graphicData uri="http://schemas.openxmlformats.org/drawingml/2006/picture">
                <pic:pic>
                  <pic:nvPicPr>
                    <pic:cNvPr descr="images/paste-03A661E4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59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Adapted from Barker et al., 2016: pp.</w:t>
      </w:r>
      <w:r>
        <w:t xml:space="preserve"> </w:t>
      </w:r>
      <w:r>
        <w:t xml:space="preserve">111-112; DeVellis, 2017: p. 101.</w:t>
      </w:r>
    </w:p>
    <w:bookmarkEnd w:id="76"/>
    <w:bookmarkStart w:id="77" w:name="stress-simple-huh"/>
    <w:p>
      <w:pPr>
        <w:pStyle w:val="Heading2"/>
      </w:pPr>
      <w:r>
        <w:t xml:space="preserve">“</w:t>
      </w:r>
      <w:r>
        <w:t xml:space="preserve">Stress</w:t>
      </w:r>
      <w:r>
        <w:t xml:space="preserve">”</w:t>
      </w:r>
      <w:r>
        <w:t xml:space="preserve"> </w:t>
      </w:r>
      <w:r>
        <w:t xml:space="preserve">Simple, huh?</w:t>
      </w:r>
    </w:p>
    <w:p>
      <w:pPr>
        <w:pStyle w:val="FirstParagraph"/>
      </w:pPr>
      <w:r>
        <w:t xml:space="preserve">The</w:t>
      </w:r>
      <w:r>
        <w:t xml:space="preserve"> </w:t>
      </w:r>
      <w:r>
        <w:rPr>
          <w:bCs/>
          <w:b/>
        </w:rPr>
        <w:t xml:space="preserve">Social Readjustment Rating Scale (</w:t>
      </w:r>
      <w:r>
        <w:t xml:space="preserve">Holmes and Rahe, 1967) is a</w:t>
      </w:r>
      <w:r>
        <w:t xml:space="preserve"> </w:t>
      </w:r>
      <w:r>
        <w:t xml:space="preserve">self-report questionnaire on which people identify stressful events that</w:t>
      </w:r>
      <w:r>
        <w:t xml:space="preserve"> </w:t>
      </w:r>
      <w:r>
        <w:t xml:space="preserve">they have experienced in the past year and assigns points for each one</w:t>
      </w:r>
      <w:r>
        <w:t xml:space="preserve"> </w:t>
      </w:r>
      <w:r>
        <w:t xml:space="preserve">depending on its severity. For example, a man who has been divorced (73</w:t>
      </w:r>
      <w:r>
        <w:t xml:space="preserve"> </w:t>
      </w:r>
      <w:r>
        <w:t xml:space="preserve">points), changed jobs (36 points), and had a change in sleeping habits</w:t>
      </w:r>
      <w:r>
        <w:t xml:space="preserve"> </w:t>
      </w:r>
      <w:r>
        <w:t xml:space="preserve">(16 points) in the past year would have a total score of 125.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t xml:space="preserve">The</w:t>
      </w:r>
      <w:r>
        <w:t xml:space="preserve"> </w:t>
      </w:r>
      <w:r>
        <w:rPr>
          <w:bCs/>
          <w:b/>
        </w:rPr>
        <w:t xml:space="preserve">Daily Hassles and Uplifts Scale</w:t>
      </w:r>
      <w:r>
        <w:t xml:space="preserve"> </w:t>
      </w:r>
      <w:r>
        <w:t xml:space="preserve">(Delongis et al., 1982)is</w:t>
      </w:r>
      <w:r>
        <w:t xml:space="preserve"> </w:t>
      </w:r>
      <w:r>
        <w:t xml:space="preserve">similar but focuses on everyday stressors like misplacing things and</w:t>
      </w:r>
      <w:r>
        <w:t xml:space="preserve"> </w:t>
      </w:r>
      <w:r>
        <w:t xml:space="preserve">being concerned about one’s weight.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t xml:space="preserve">The</w:t>
      </w:r>
      <w:r>
        <w:t xml:space="preserve"> </w:t>
      </w:r>
      <w:r>
        <w:rPr>
          <w:bCs/>
          <w:b/>
        </w:rPr>
        <w:t xml:space="preserve">Perceived Stress Scale</w:t>
      </w:r>
      <w:r>
        <w:t xml:space="preserve"> </w:t>
      </w:r>
      <w:r>
        <w:t xml:space="preserve">(Cohen et al., 1994)is another</w:t>
      </w:r>
      <w:r>
        <w:t xml:space="preserve"> </w:t>
      </w:r>
      <w:r>
        <w:t xml:space="preserve">self-report measure that focuses on people’s feelings of stress (e.g.,</w:t>
      </w:r>
      <w:r>
        <w:t xml:space="preserve"> </w:t>
      </w:r>
      <w:r>
        <w:t xml:space="preserve">“</w:t>
      </w:r>
      <w:r>
        <w:t xml:space="preserve">How often have you felt nervous and stressed?</w:t>
      </w:r>
      <w:r>
        <w:t xml:space="preserve">”</w:t>
      </w:r>
      <w:r>
        <w:t xml:space="preserve">).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t xml:space="preserve">Researchers have also operationally defined stress in terms of several</w:t>
      </w:r>
      <w:r>
        <w:t xml:space="preserve"> </w:t>
      </w:r>
      <w:r>
        <w:t xml:space="preserve">physiological variables including blood pressure and levels of the</w:t>
      </w:r>
      <w:r>
        <w:t xml:space="preserve"> </w:t>
      </w:r>
      <w:r>
        <w:t xml:space="preserve">stress hormone cortisol.</w:t>
      </w:r>
    </w:p>
    <w:p>
      <w:pPr>
        <w:pStyle w:val="BodyText"/>
      </w:pPr>
      <w:r>
        <w:t xml:space="preserve">(Cohen et al., 1994; DeLongis et al., 1982; Holmes &amp; Rahe, 1967)</w:t>
      </w:r>
    </w:p>
    <w:bookmarkEnd w:id="77"/>
    <w:bookmarkStart w:id="82" w:name="X2c7af400ae7e4097fedc9c2e2c71249085524f8"/>
    <w:p>
      <w:pPr>
        <w:pStyle w:val="Heading2"/>
      </w:pPr>
      <w:r>
        <w:t xml:space="preserve">Blirt - Blirtatiousness (Swann et al., 2001)</w:t>
      </w:r>
    </w:p>
    <w:p>
      <w:pPr>
        <w:pStyle w:val="FirstParagraph"/>
      </w:pPr>
      <w:hyperlink r:id="rId78">
        <w:r>
          <w:rPr>
            <w:rStyle w:val="Hyperlink"/>
          </w:rPr>
          <w:t xml:space="preserve">https://labs.la.utexas.edu/swann/the-blirt/</w:t>
        </w:r>
      </w:hyperlink>
    </w:p>
    <w:p>
      <w:pPr>
        <w:pStyle w:val="BodyText"/>
      </w:pPr>
      <w:r>
        <w:drawing>
          <wp:inline>
            <wp:extent cx="5943600" cy="8185913"/>
            <wp:effectExtent b="0" l="0" r="0" t="0"/>
            <wp:docPr descr="" title="" id="80" name="Picture"/>
            <a:graphic>
              <a:graphicData uri="http://schemas.openxmlformats.org/drawingml/2006/picture">
                <pic:pic>
                  <pic:nvPicPr>
                    <pic:cNvPr descr="images/paste-306E9D99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59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2"/>
    <w:bookmarkStart w:id="86" w:name="factor-analysis"/>
    <w:p>
      <w:pPr>
        <w:pStyle w:val="Heading2"/>
      </w:pPr>
      <w:r>
        <w:t xml:space="preserve">Factor Analysis</w:t>
      </w:r>
    </w:p>
    <w:p>
      <w:pPr>
        <w:pStyle w:val="FirstParagraph"/>
      </w:pPr>
      <w:r>
        <w:drawing>
          <wp:inline>
            <wp:extent cx="5943600" cy="3401439"/>
            <wp:effectExtent b="0" l="0" r="0" t="0"/>
            <wp:docPr descr="" title="" id="84" name="Picture"/>
            <a:graphic>
              <a:graphicData uri="http://schemas.openxmlformats.org/drawingml/2006/picture">
                <pic:pic>
                  <pic:nvPicPr>
                    <pic:cNvPr descr="images/paste-69CB1B2F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14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6"/>
    <w:bookmarkStart w:id="87" w:name="would-you-like-to-have-a-go"/>
    <w:p>
      <w:pPr>
        <w:pStyle w:val="Heading2"/>
      </w:pPr>
      <w:r>
        <w:t xml:space="preserve">Would you like to have a go?</w:t>
      </w:r>
    </w:p>
    <w:p>
      <w:pPr>
        <w:pStyle w:val="FirstParagraph"/>
      </w:pPr>
      <w:r>
        <w:t xml:space="preserve">If you would like to, how about we develop a scale of our own.</w:t>
      </w:r>
    </w:p>
    <w:p>
      <w:pPr>
        <w:pStyle w:val="BodyText"/>
      </w:pPr>
      <w:r>
        <w:t xml:space="preserve">Everyone who wants to have a go, come to the front.</w:t>
      </w:r>
    </w:p>
    <w:bookmarkEnd w:id="87"/>
    <w:bookmarkStart w:id="88" w:name="glossary-validity-reliability"/>
    <w:p>
      <w:pPr>
        <w:pStyle w:val="Heading2"/>
      </w:pPr>
      <w:r>
        <w:t xml:space="preserve">Glossary (Validity &amp; Reliability)</w:t>
      </w:r>
    </w:p>
    <w:p>
      <w:pPr>
        <w:pStyle w:val="DefinitionTerm"/>
      </w:pPr>
      <w:r>
        <w:rPr>
          <w:bCs/>
          <w:b/>
        </w:rPr>
        <w:t xml:space="preserve">Discriminant validity</w:t>
      </w:r>
    </w:p>
    <w:p>
      <w:pPr>
        <w:pStyle w:val="Definition"/>
      </w:pPr>
      <w:r>
        <w:t xml:space="preserve">the relationship between some traits that should have weak or no</w:t>
      </w:r>
      <w:r>
        <w:t xml:space="preserve"> </w:t>
      </w:r>
      <w:r>
        <w:t xml:space="preserve">relationship</w:t>
      </w:r>
    </w:p>
    <w:p>
      <w:pPr>
        <w:pStyle w:val="DefinitionTerm"/>
      </w:pPr>
      <w:r>
        <w:rPr>
          <w:bCs/>
          <w:b/>
        </w:rPr>
        <w:t xml:space="preserve">Face validity</w:t>
      </w:r>
    </w:p>
    <w:p>
      <w:pPr>
        <w:pStyle w:val="Definition"/>
      </w:pPr>
      <w:r>
        <w:t xml:space="preserve">Does the scale appear to be measuring the variable? to researcher</w:t>
      </w:r>
      <w:r>
        <w:t xml:space="preserve"> </w:t>
      </w:r>
      <w:r>
        <w:t xml:space="preserve">AND participant! e.g. Psychopathy at work scales. Cannot be TOO</w:t>
      </w:r>
      <w:r>
        <w:t xml:space="preserve"> </w:t>
      </w:r>
      <w:r>
        <w:t xml:space="preserve">‘</w:t>
      </w:r>
      <w:r>
        <w:t xml:space="preserve">criminal</w:t>
      </w:r>
      <w:r>
        <w:t xml:space="preserve">’</w:t>
      </w:r>
      <w:r>
        <w:t xml:space="preserve"> </w:t>
      </w:r>
      <w:r>
        <w:t xml:space="preserve">or</w:t>
      </w:r>
      <w:r>
        <w:t xml:space="preserve"> </w:t>
      </w:r>
      <w:r>
        <w:t xml:space="preserve">‘</w:t>
      </w:r>
      <w:r>
        <w:t xml:space="preserve">deviant</w:t>
      </w:r>
      <w:r>
        <w:t xml:space="preserve">’</w:t>
      </w:r>
    </w:p>
    <w:p>
      <w:pPr>
        <w:pStyle w:val="DefinitionTerm"/>
      </w:pPr>
      <w:r>
        <w:rPr>
          <w:bCs/>
          <w:b/>
        </w:rPr>
        <w:t xml:space="preserve">Content validity</w:t>
      </w:r>
    </w:p>
    <w:p>
      <w:pPr>
        <w:pStyle w:val="Definition"/>
      </w:pPr>
      <w:r>
        <w:t xml:space="preserve">Do the items on the scale represent the various (and full) aspects</w:t>
      </w:r>
      <w:r>
        <w:t xml:space="preserve"> </w:t>
      </w:r>
      <w:r>
        <w:t xml:space="preserve">of the variable being measured?</w:t>
      </w:r>
    </w:p>
    <w:p>
      <w:pPr>
        <w:pStyle w:val="DefinitionTerm"/>
      </w:pPr>
      <w:r>
        <w:rPr>
          <w:bCs/>
          <w:b/>
        </w:rPr>
        <w:t xml:space="preserve">Construct validity</w:t>
      </w:r>
    </w:p>
    <w:p>
      <w:pPr>
        <w:pStyle w:val="Definition"/>
      </w:pPr>
      <w:r>
        <w:t xml:space="preserve">Does the scale actually measure the intended variable?</w:t>
      </w:r>
    </w:p>
    <w:p>
      <w:pPr>
        <w:pStyle w:val="DefinitionTerm"/>
      </w:pPr>
      <w:r>
        <w:rPr>
          <w:bCs/>
          <w:b/>
        </w:rPr>
        <w:t xml:space="preserve">Concurrent validity</w:t>
      </w:r>
    </w:p>
    <w:p>
      <w:pPr>
        <w:pStyle w:val="Definition"/>
      </w:pPr>
      <w:r>
        <w:t xml:space="preserve">Does the scale relate to a relevant outcome or behavior that was</w:t>
      </w:r>
      <w:r>
        <w:t xml:space="preserve"> </w:t>
      </w:r>
      <w:r>
        <w:t xml:space="preserve">measured at the same time?</w:t>
      </w:r>
    </w:p>
    <w:p>
      <w:pPr>
        <w:pStyle w:val="DefinitionTerm"/>
      </w:pPr>
      <w:r>
        <w:rPr>
          <w:bCs/>
          <w:b/>
        </w:rPr>
        <w:t xml:space="preserve">Predictive validity</w:t>
      </w:r>
    </w:p>
    <w:p>
      <w:pPr>
        <w:pStyle w:val="Definition"/>
      </w:pPr>
      <w:r>
        <w:t xml:space="preserve">Does the scale relate to a relevant outcome or behavior that occurs</w:t>
      </w:r>
      <w:r>
        <w:t xml:space="preserve"> </w:t>
      </w:r>
      <w:r>
        <w:t xml:space="preserve">in the future, after the scale is completed?</w:t>
      </w:r>
    </w:p>
    <w:p>
      <w:pPr>
        <w:pStyle w:val="DefinitionTerm"/>
      </w:pPr>
      <w:r>
        <w:rPr>
          <w:bCs/>
          <w:b/>
        </w:rPr>
        <w:t xml:space="preserve">Convergent validity</w:t>
      </w:r>
    </w:p>
    <w:p>
      <w:pPr>
        <w:pStyle w:val="Definition"/>
      </w:pPr>
      <w:r>
        <w:t xml:space="preserve">the relationship between traits that are similar to (but not</w:t>
      </w:r>
      <w:r>
        <w:t xml:space="preserve"> </w:t>
      </w:r>
      <w:r>
        <w:t xml:space="preserve">identical to) the trait being measured</w:t>
      </w:r>
    </w:p>
    <w:p>
      <w:pPr>
        <w:pStyle w:val="DefinitionTerm"/>
      </w:pPr>
      <w:r>
        <w:rPr>
          <w:bCs/>
          <w:b/>
        </w:rPr>
        <w:t xml:space="preserve">Criterion validity</w:t>
      </w:r>
    </w:p>
    <w:p>
      <w:pPr>
        <w:pStyle w:val="Definition"/>
      </w:pPr>
      <w:r>
        <w:t xml:space="preserve">the relationship between some measure and some real-world outcome</w:t>
      </w:r>
    </w:p>
    <w:p>
      <w:pPr>
        <w:pStyle w:val="DefinitionTerm"/>
      </w:pPr>
      <w:r>
        <w:rPr>
          <w:bCs/>
          <w:b/>
        </w:rPr>
        <w:t xml:space="preserve">Discriminant validity</w:t>
      </w:r>
    </w:p>
    <w:p>
      <w:pPr>
        <w:pStyle w:val="Definition"/>
      </w:pPr>
      <w:r>
        <w:t xml:space="preserve">the relationship between some traits that should have weak or no</w:t>
      </w:r>
      <w:r>
        <w:t xml:space="preserve"> </w:t>
      </w:r>
      <w:r>
        <w:t xml:space="preserve">relationship</w:t>
      </w:r>
    </w:p>
    <w:p>
      <w:pPr>
        <w:pStyle w:val="DefinitionTerm"/>
      </w:pPr>
      <w:r>
        <w:rPr>
          <w:bCs/>
          <w:b/>
        </w:rPr>
        <w:t xml:space="preserve">Inter-rater reliability</w:t>
      </w:r>
    </w:p>
    <w:p>
      <w:pPr>
        <w:pStyle w:val="Definition"/>
      </w:pPr>
      <w:r>
        <w:t xml:space="preserve">Inter-rater reliability agreement demonstrates consistent results</w:t>
      </w:r>
      <w:r>
        <w:t xml:space="preserve"> </w:t>
      </w:r>
      <w:r>
        <w:t xml:space="preserve">between different examiners.</w:t>
      </w:r>
    </w:p>
    <w:p>
      <w:pPr>
        <w:pStyle w:val="DefinitionTerm"/>
      </w:pPr>
      <w:r>
        <w:rPr>
          <w:bCs/>
          <w:b/>
        </w:rPr>
        <w:t xml:space="preserve">Test-retest reliability</w:t>
      </w:r>
    </w:p>
    <w:p>
      <w:pPr>
        <w:pStyle w:val="Definition"/>
      </w:pPr>
      <w:r>
        <w:t xml:space="preserve">reliability between tests conducted over short periods of time.</w:t>
      </w:r>
    </w:p>
    <w:p>
      <w:pPr>
        <w:pStyle w:val="DefinitionTerm"/>
      </w:pPr>
      <w:r>
        <w:rPr>
          <w:bCs/>
          <w:b/>
        </w:rPr>
        <w:t xml:space="preserve">Split-half reliability</w:t>
      </w:r>
    </w:p>
    <w:p>
      <w:pPr>
        <w:pStyle w:val="Definition"/>
      </w:pPr>
      <w:r>
        <w:t xml:space="preserve">the correlation between to halves of the same proposed measure.</w:t>
      </w:r>
      <w:r>
        <w:t xml:space="preserve"> </w:t>
      </w:r>
      <w:r>
        <w:t xml:space="preserve">Doing this for all the possible halves and averaging the result it</w:t>
      </w:r>
      <w:r>
        <w:t xml:space="preserve"> </w:t>
      </w:r>
      <w:r>
        <w:t xml:space="preserve">Cohen’s Alpha!</w:t>
      </w:r>
    </w:p>
    <w:bookmarkEnd w:id="88"/>
    <w:bookmarkStart w:id="96" w:name="references"/>
    <w:p>
      <w:pPr>
        <w:pStyle w:val="Heading2"/>
      </w:pPr>
      <w:r>
        <w:t xml:space="preserve">References</w:t>
      </w:r>
    </w:p>
    <w:bookmarkStart w:id="95" w:name="refs"/>
    <w:bookmarkStart w:id="89" w:name="ref-cohen1994perceived"/>
    <w:p>
      <w:pPr>
        <w:pStyle w:val="Bibliography"/>
      </w:pPr>
      <w:r>
        <w:t xml:space="preserve">Cohen, S., Kamarck, T., Mermelstein, R., et al. (1994). Perceived stress scale.</w:t>
      </w:r>
      <w:r>
        <w:t xml:space="preserve"> </w:t>
      </w:r>
      <w:r>
        <w:rPr>
          <w:iCs/>
          <w:i/>
        </w:rPr>
        <w:t xml:space="preserve">Measuring Stress: A Guide for Health and Social Scientists</w:t>
      </w:r>
      <w:r>
        <w:t xml:space="preserve">,</w:t>
      </w:r>
      <w:r>
        <w:t xml:space="preserve"> </w:t>
      </w:r>
      <w:r>
        <w:rPr>
          <w:iCs/>
          <w:i/>
        </w:rPr>
        <w:t xml:space="preserve">10</w:t>
      </w:r>
      <w:r>
        <w:t xml:space="preserve">(2), 1–2.</w:t>
      </w:r>
    </w:p>
    <w:bookmarkEnd w:id="89"/>
    <w:bookmarkStart w:id="90" w:name="ref-delongis1982relationship"/>
    <w:p>
      <w:pPr>
        <w:pStyle w:val="Bibliography"/>
      </w:pPr>
      <w:r>
        <w:t xml:space="preserve">DeLongis, A., Coyne, J. C., Dakof, G., Folkman, S., &amp; Lazarus, R. S. (1982). Relationship of daily hassles, uplifts, and major life events to health status.</w:t>
      </w:r>
      <w:r>
        <w:t xml:space="preserve"> </w:t>
      </w:r>
      <w:r>
        <w:rPr>
          <w:iCs/>
          <w:i/>
        </w:rPr>
        <w:t xml:space="preserve">Health Psychology</w:t>
      </w:r>
      <w:r>
        <w:t xml:space="preserve">,</w:t>
      </w:r>
      <w:r>
        <w:t xml:space="preserve"> </w:t>
      </w:r>
      <w:r>
        <w:rPr>
          <w:iCs/>
          <w:i/>
        </w:rPr>
        <w:t xml:space="preserve">1</w:t>
      </w:r>
      <w:r>
        <w:t xml:space="preserve">(2), 119.</w:t>
      </w:r>
    </w:p>
    <w:bookmarkEnd w:id="90"/>
    <w:bookmarkStart w:id="91" w:name="ref-gosling2003b"/>
    <w:p>
      <w:pPr>
        <w:pStyle w:val="Bibliography"/>
      </w:pPr>
      <w:r>
        <w:t xml:space="preserve">Gosling, S. D., Rentfrow, P. J., &amp; Swann, W. B. (2003). A very brief measure of the big-five personality domains.</w:t>
      </w:r>
      <w:r>
        <w:t xml:space="preserve"> </w:t>
      </w:r>
      <w:r>
        <w:rPr>
          <w:iCs/>
          <w:i/>
        </w:rPr>
        <w:t xml:space="preserve">Journal of Research in Personality</w:t>
      </w:r>
      <w:r>
        <w:t xml:space="preserve">,</w:t>
      </w:r>
      <w:r>
        <w:t xml:space="preserve"> </w:t>
      </w:r>
      <w:r>
        <w:rPr>
          <w:iCs/>
          <w:i/>
        </w:rPr>
        <w:t xml:space="preserve">37</w:t>
      </w:r>
      <w:r>
        <w:t xml:space="preserve">(6), 504–528.</w:t>
      </w:r>
    </w:p>
    <w:bookmarkEnd w:id="91"/>
    <w:bookmarkStart w:id="92" w:name="ref-holmes1967social"/>
    <w:p>
      <w:pPr>
        <w:pStyle w:val="Bibliography"/>
      </w:pPr>
      <w:r>
        <w:t xml:space="preserve">Holmes, T. H., &amp; Rahe, R. H. (1967). The social readjustment rating scale.</w:t>
      </w:r>
      <w:r>
        <w:t xml:space="preserve"> </w:t>
      </w:r>
      <w:r>
        <w:rPr>
          <w:iCs/>
          <w:i/>
        </w:rPr>
        <w:t xml:space="preserve">Journal of Psychosomatic Research</w:t>
      </w:r>
      <w:r>
        <w:t xml:space="preserve">,</w:t>
      </w:r>
      <w:r>
        <w:t xml:space="preserve"> </w:t>
      </w:r>
      <w:r>
        <w:rPr>
          <w:iCs/>
          <w:i/>
        </w:rPr>
        <w:t xml:space="preserve">11</w:t>
      </w:r>
      <w:r>
        <w:t xml:space="preserve">(2), 213–218.</w:t>
      </w:r>
    </w:p>
    <w:bookmarkEnd w:id="92"/>
    <w:bookmarkStart w:id="93" w:name="ref-peterson2000"/>
    <w:p>
      <w:pPr>
        <w:pStyle w:val="Bibliography"/>
      </w:pPr>
      <w:r>
        <w:t xml:space="preserve">Peterson, R. (2000).</w:t>
      </w:r>
      <w:r>
        <w:t xml:space="preserve"> </w:t>
      </w:r>
      <w:r>
        <w:rPr>
          <w:iCs/>
          <w:i/>
        </w:rPr>
        <w:t xml:space="preserve">Constructing effective questionnaires</w:t>
      </w:r>
      <w:r>
        <w:t xml:space="preserve">. SAGE Publications, Inc.</w:t>
      </w:r>
    </w:p>
    <w:bookmarkEnd w:id="93"/>
    <w:bookmarkStart w:id="94" w:name="ref-span2002"/>
    <w:p>
      <w:pPr>
        <w:pStyle w:val="Bibliography"/>
      </w:pPr>
      <w:r>
        <w:t xml:space="preserve">Span, S. A., Earleywine, M., &amp; Strybel, T. Z. (2002). Confirming the factor structure of attention deficit hyperactivity disorder symptoms in adult, nonclinical samples.</w:t>
      </w:r>
      <w:r>
        <w:t xml:space="preserve"> </w:t>
      </w:r>
      <w:r>
        <w:rPr>
          <w:iCs/>
          <w:i/>
        </w:rPr>
        <w:t xml:space="preserve">Journal of Psychopathology and Behavioral Assessment</w:t>
      </w:r>
      <w:r>
        <w:t xml:space="preserve">,</w:t>
      </w:r>
      <w:r>
        <w:t xml:space="preserve"> </w:t>
      </w:r>
      <w:r>
        <w:rPr>
          <w:iCs/>
          <w:i/>
        </w:rPr>
        <w:t xml:space="preserve">24</w:t>
      </w:r>
      <w:r>
        <w:t xml:space="preserve">(2), 129–136.</w:t>
      </w:r>
    </w:p>
    <w:bookmarkEnd w:id="94"/>
    <w:bookmarkEnd w:id="95"/>
    <w:bookmarkEnd w:id="96"/>
    <w:bookmarkEnd w:id="97"/>
    <w:sectPr w:rsidR="0088650E" w:rsidRPr="00E343F9"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tkinson Hyperlegible">
    <w:panose1 w:val="00000000000000000000"/>
    <w:charset w:val="00"/>
    <w:family w:val="auto"/>
    <w:notTrueType/>
    <w:pitch w:val="variable"/>
    <w:sig w:usb0="00000027" w:usb1="00000000" w:usb2="00000000" w:usb3="00000000" w:csb0="00000083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abstractNum w15:restartNumberingAfterBreak="0" w:abstractNumId="0">
    <w:nsid w:val="FFFFFF7C"/>
    <w:multiLevelType w:val="singleLevel"/>
    <w:tmpl w:val="DF66E58A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5F98E458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B4026960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F4EA5DD0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12906A7E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cs="Symbol" w:hAnsi="Symbol" w:hint="default"/>
      </w:rPr>
    </w:lvl>
  </w:abstractNum>
  <w:abstractNum w15:restartNumberingAfterBreak="0" w:abstractNumId="5">
    <w:nsid w:val="FFFFFF81"/>
    <w:multiLevelType w:val="singleLevel"/>
    <w:tmpl w:val="EBD6FB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F12A7248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A6082D06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7430E372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A4AC0676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170CD2DE"/>
    <w:multiLevelType w:val="multilevel"/>
    <w:tmpl w:val="FC5E68C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411">
    <w:nsid w:val="A9941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num w16cid:durableId="463625701" w:numId="1">
    <w:abstractNumId w:val="10"/>
  </w:num>
  <w:num w16cid:durableId="398986169" w:numId="2">
    <w:abstractNumId w:val="0"/>
  </w:num>
  <w:num w16cid:durableId="1447194981" w:numId="3">
    <w:abstractNumId w:val="1"/>
  </w:num>
  <w:num w16cid:durableId="1354303259" w:numId="4">
    <w:abstractNumId w:val="2"/>
  </w:num>
  <w:num w16cid:durableId="1099714785" w:numId="5">
    <w:abstractNumId w:val="3"/>
  </w:num>
  <w:num w16cid:durableId="1800102660" w:numId="6">
    <w:abstractNumId w:val="8"/>
  </w:num>
  <w:num w16cid:durableId="1079213627" w:numId="7">
    <w:abstractNumId w:val="4"/>
  </w:num>
  <w:num w16cid:durableId="2073961952" w:numId="8">
    <w:abstractNumId w:val="5"/>
  </w:num>
  <w:num w16cid:durableId="649210763" w:numId="9">
    <w:abstractNumId w:val="6"/>
  </w:num>
  <w:num w16cid:durableId="1063018244" w:numId="10">
    <w:abstractNumId w:val="7"/>
  </w:num>
  <w:num w16cid:durableId="184291971" w:numId="11">
    <w:abstractNumId w:val="9"/>
  </w:num>
  <w:num w:numId="1000">
    <w:abstractNumId w:val="990"/>
  </w:num>
  <w:num w:numId="1001">
    <w:abstractNumId w:val="991"/>
  </w:num>
  <w:num w:numId="100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1"/>
  </w:num>
  <w:num w:numId="1005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1"/>
  </w:num>
  <w:num w:numId="1008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89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011855"/>
    <w:pPr>
      <w:spacing w:before="120"/>
    </w:pPr>
    <w:rPr>
      <w:rFonts w:ascii="Atkinson Hyperlegible" w:hAnsi="Atkinson Hyperlegible"/>
    </w:rPr>
  </w:style>
  <w:style w:styleId="Heading1" w:type="paragraph">
    <w:name w:val="heading 1"/>
    <w:basedOn w:val="Normal"/>
    <w:next w:val="BodyText"/>
    <w:uiPriority w:val="9"/>
    <w:qFormat/>
    <w:rsid w:val="000E3EAF"/>
    <w:pPr>
      <w:keepNext/>
      <w:keepLines/>
      <w:pBdr>
        <w:top w:color="auto" w:space="1" w:sz="4" w:val="single"/>
        <w:left w:color="auto" w:space="4" w:sz="4" w:val="single"/>
        <w:bottom w:color="auto" w:space="1" w:sz="4" w:val="single"/>
        <w:right w:color="auto" w:space="4" w:sz="4" w:val="single"/>
      </w:pBdr>
      <w:shd w:color="auto" w:fill="auto" w:val="pct15"/>
      <w:spacing w:after="0" w:before="480"/>
      <w:outlineLvl w:val="0"/>
    </w:pPr>
    <w:rPr>
      <w:rFonts w:cstheme="majorBidi" w:eastAsiaTheme="majorEastAsia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rsid w:val="003E251B"/>
    <w:pPr>
      <w:keepNext/>
      <w:keepLines/>
      <w:pBdr>
        <w:top w:color="auto" w:space="4" w:sz="4" w:val="single"/>
      </w:pBdr>
      <w:spacing w:after="480" w:before="480"/>
      <w:contextualSpacing/>
      <w:jc w:val="center"/>
      <w:outlineLvl w:val="1"/>
    </w:pPr>
    <w:rPr>
      <w:rFonts w:cstheme="majorBidi" w:eastAsiaTheme="majorEastAsia"/>
      <w:b/>
      <w:bCs/>
      <w:color w:themeColor="text2" w:val="1F497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2"/>
    </w:pPr>
    <w:rPr>
      <w:rFonts w:cstheme="majorBidi" w:eastAsiaTheme="majorEastAsia"/>
      <w:b/>
      <w:bCs/>
      <w:color w:themeColor="accent1" w:val="4F81BD"/>
    </w:rPr>
  </w:style>
  <w:style w:styleId="Heading4" w:type="paragraph">
    <w:name w:val="heading 4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3"/>
    </w:pPr>
    <w:rPr>
      <w:rFonts w:cstheme="majorBidi" w:eastAsiaTheme="majorEastAsia"/>
      <w:bCs/>
      <w:i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4"/>
    </w:pPr>
    <w:rPr>
      <w:rFonts w:cstheme="majorBidi" w:eastAsiaTheme="majorEastAsia"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5"/>
    </w:pPr>
    <w:rPr>
      <w:rFonts w:cstheme="majorBidi" w:eastAsiaTheme="majorEastAsia"/>
      <w:color w:themeColor="accent1" w:val="4F81BD"/>
    </w:rPr>
  </w:style>
  <w:style w:styleId="Heading7" w:type="paragraph">
    <w:name w:val="heading 7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6"/>
    </w:pPr>
    <w:rPr>
      <w:rFonts w:cstheme="majorBidi" w:eastAsiaTheme="majorEastAsia"/>
      <w:color w:themeColor="accent1" w:val="4F81BD"/>
    </w:rPr>
  </w:style>
  <w:style w:styleId="Heading8" w:type="paragraph">
    <w:name w:val="heading 8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7"/>
    </w:pPr>
    <w:rPr>
      <w:rFonts w:cstheme="majorBidi" w:eastAsiaTheme="majorEastAsia"/>
      <w:color w:themeColor="accent1" w:val="4F81BD"/>
    </w:rPr>
  </w:style>
  <w:style w:styleId="Heading9" w:type="paragraph">
    <w:name w:val="heading 9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8"/>
    </w:pPr>
    <w:rPr>
      <w:rFonts w:cstheme="majorBidi" w:eastAsiaTheme="majorEastAsia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qFormat/>
    <w:rsid w:val="00641073"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  <w:rsid w:val="00641073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rsid w:val="006D2303"/>
    <w:pPr>
      <w:keepNext/>
      <w:keepLines/>
      <w:spacing w:after="240" w:before="480"/>
      <w:jc w:val="center"/>
    </w:pPr>
    <w:rPr>
      <w:rFonts w:cstheme="majorBidi" w:eastAsiaTheme="majorEastAsia"/>
      <w:b/>
      <w:bCs/>
      <w:color w:val="325B74"/>
      <w:sz w:val="36"/>
      <w:szCs w:val="36"/>
    </w:rPr>
  </w:style>
  <w:style w:styleId="Subtitle" w:type="paragraph">
    <w:name w:val="Subtitle"/>
    <w:basedOn w:val="Title"/>
    <w:next w:val="BodyText"/>
    <w:qFormat/>
    <w:rsid w:val="006D2303"/>
    <w:pPr>
      <w:spacing w:before="240"/>
    </w:pPr>
    <w:rPr>
      <w:i/>
      <w:sz w:val="30"/>
      <w:szCs w:val="30"/>
    </w:rPr>
  </w:style>
  <w:style w:customStyle="1" w:styleId="Author" w:type="paragraph">
    <w:name w:val="Author"/>
    <w:next w:val="BodyText"/>
    <w:qFormat/>
    <w:rsid w:val="00641073"/>
    <w:pPr>
      <w:keepNext/>
      <w:keepLines/>
      <w:jc w:val="center"/>
    </w:pPr>
    <w:rPr>
      <w:rFonts w:ascii="Atkinson Hyperlegible" w:hAnsi="Atkinson Hyperlegible"/>
    </w:rPr>
  </w:style>
  <w:style w:styleId="Date" w:type="paragraph">
    <w:name w:val="Date"/>
    <w:next w:val="BodyText"/>
    <w:qFormat/>
    <w:rsid w:val="00641073"/>
    <w:pPr>
      <w:keepNext/>
      <w:keepLines/>
      <w:jc w:val="center"/>
    </w:pPr>
    <w:rPr>
      <w:rFonts w:ascii="Atkinson Hyperlegible" w:hAnsi="Atkinson Hyperlegible"/>
    </w:rPr>
  </w:style>
  <w:style w:customStyle="1" w:styleId="Abstract" w:type="paragraph">
    <w:name w:val="Abstract"/>
    <w:basedOn w:val="Normal"/>
    <w:next w:val="BodyText"/>
    <w:qFormat/>
    <w:rsid w:val="00641073"/>
    <w:pPr>
      <w:keepNext/>
      <w:keepLines/>
      <w:spacing w:after="300" w:before="300"/>
    </w:pPr>
    <w:rPr>
      <w:rFonts w:cs="Times New Roman (Body CS)"/>
      <w:sz w:val="20"/>
      <w:szCs w:val="20"/>
    </w:rPr>
  </w:style>
  <w:style w:styleId="Bibliography" w:type="paragraph">
    <w:name w:val="Bibliography"/>
    <w:basedOn w:val="Normal"/>
    <w:qFormat/>
    <w:rsid w:val="004C5413"/>
    <w:pPr>
      <w:ind w:hanging="510" w:left="510"/>
    </w:p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left="480" w:right="480"/>
    </w:pPr>
  </w:style>
  <w:style w:styleId="FootnoteText" w:type="paragraph">
    <w:name w:val="footnote text"/>
    <w:basedOn w:val="Normal"/>
    <w:uiPriority w:val="9"/>
    <w:unhideWhenUsed/>
    <w:qFormat/>
    <w:rsid w:val="00E343F9"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rsid w:val="00E343F9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  <w:rsid w:val="00E343F9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rsid w:val="00E343F9"/>
    <w:pPr>
      <w:keepNext/>
    </w:pPr>
  </w:style>
  <w:style w:customStyle="1" w:styleId="ImageCaption" w:type="paragraph">
    <w:name w:val="Image Caption"/>
    <w:basedOn w:val="Caption"/>
    <w:rsid w:val="00E343F9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rPr>
      <w:rFonts w:ascii="Consolas" w:hAnsi="Consolas"/>
      <w:sz w:val="22"/>
    </w:rPr>
  </w:style>
  <w:style w:customStyle="1" w:styleId="SectionNumber" w:type="character">
    <w:name w:val="Section Number"/>
    <w:basedOn w:val="CaptionChar"/>
  </w:style>
  <w:style w:styleId="FootnoteReference" w:type="character">
    <w:name w:val="footnote reference"/>
    <w:basedOn w:val="CaptionChar"/>
    <w:rsid w:val="00E343F9"/>
    <w:rPr>
      <w:vertAlign w:val="superscript"/>
    </w:rPr>
  </w:style>
  <w:style w:styleId="Hyperlink" w:type="character">
    <w:name w:val="Hyperlink"/>
    <w:basedOn w:val="CaptionChar"/>
    <w:rsid w:val="00E343F9"/>
    <w:rPr>
      <w:rFonts w:ascii="Atkinson Hyperlegible" w:hAnsi="Atkinson Hyperlegible"/>
      <w:color w:val="0070C0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hAnsiTheme="majorHAnsi"/>
      <w:b w:val="0"/>
      <w:bCs w:val="0"/>
      <w:color w:themeColor="accent1" w:themeShade="BF" w:val="365F91"/>
    </w:rPr>
  </w:style>
  <w:style w:styleId="FollowedHyperlink" w:type="character">
    <w:name w:val="FollowedHyperlink"/>
    <w:basedOn w:val="DefaultParagraphFont"/>
    <w:semiHidden/>
    <w:unhideWhenUsed/>
    <w:rsid w:val="00641073"/>
    <w:rPr>
      <w:color w:themeColor="followedHyperlink" w:val="800080"/>
      <w:u w:val="single"/>
    </w:rPr>
  </w:style>
  <w:style w:customStyle="1" w:styleId="BodyTextChar" w:type="character">
    <w:name w:val="Body Text Char"/>
    <w:basedOn w:val="DefaultParagraphFont"/>
    <w:link w:val="BodyText"/>
    <w:rsid w:val="00641073"/>
    <w:rPr>
      <w:rFonts w:ascii="Atkinson Hyperlegible" w:hAnsi="Atkinson Hyperlegible"/>
    </w:rPr>
  </w:style>
  <w:style w:styleId="NoteHeading" w:type="paragraph">
    <w:name w:val="Note Heading"/>
    <w:basedOn w:val="Normal"/>
    <w:next w:val="Normal"/>
    <w:link w:val="NoteHeadingChar"/>
    <w:rsid w:val="00CF50C1"/>
    <w:pPr>
      <w:spacing w:after="0"/>
    </w:pPr>
  </w:style>
  <w:style w:customStyle="1" w:styleId="NoteHeadingChar" w:type="character">
    <w:name w:val="Note Heading Char"/>
    <w:basedOn w:val="DefaultParagraphFont"/>
    <w:link w:val="NoteHeading"/>
    <w:rsid w:val="00CF50C1"/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color w:val="5e5e5e"/>
      <w:shd w:val="clear" w:fill="f1f3f5"/>
      <w:i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color w:val="5e5e5e"/>
      <w:shd w:val="clear" w:fill="f1f3f5"/>
      <w:i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color w:val="5e5e5e"/>
      <w:shd w:val="clear" w:fill="f1f3f5"/>
      <w:i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73" Target="media/rId73.png" /><Relationship Type="http://schemas.openxmlformats.org/officeDocument/2006/relationships/image" Id="rId31" Target="media/rId31.png" /><Relationship Type="http://schemas.openxmlformats.org/officeDocument/2006/relationships/image" Id="rId44" Target="media/rId44.png" /><Relationship Type="http://schemas.openxmlformats.org/officeDocument/2006/relationships/image" Id="rId79" Target="media/rId79.png" /><Relationship Type="http://schemas.openxmlformats.org/officeDocument/2006/relationships/image" Id="rId47" Target="media/rId47.png" /><Relationship Type="http://schemas.openxmlformats.org/officeDocument/2006/relationships/image" Id="rId40" Target="media/rId40.png" /><Relationship Type="http://schemas.openxmlformats.org/officeDocument/2006/relationships/image" Id="rId27" Target="media/rId27.png" /><Relationship Type="http://schemas.openxmlformats.org/officeDocument/2006/relationships/image" Id="rId83" Target="media/rId83.png" /><Relationship Type="http://schemas.openxmlformats.org/officeDocument/2006/relationships/image" Id="rId69" Target="media/rId69.png" /><Relationship Type="http://schemas.openxmlformats.org/officeDocument/2006/relationships/image" Id="rId65" Target="media/rId65.png" /><Relationship Type="http://schemas.openxmlformats.org/officeDocument/2006/relationships/image" Id="rId36" Target="media/rId36.png" /><Relationship Type="http://schemas.openxmlformats.org/officeDocument/2006/relationships/image" Id="rId62" Target="media/rId62.png" /><Relationship Type="http://schemas.openxmlformats.org/officeDocument/2006/relationships/image" Id="rId54" Target="media/rId54.png" /><Relationship Type="http://schemas.openxmlformats.org/officeDocument/2006/relationships/hyperlink" Id="rId26" Target="https://gosling.psy.utexas.edu/scales-weve-developed/ten-item-personality-measure-tipi/" TargetMode="External" /><Relationship Type="http://schemas.openxmlformats.org/officeDocument/2006/relationships/hyperlink" Id="rId35" Target="https://ipip.ori.org/" TargetMode="External" /><Relationship Type="http://schemas.openxmlformats.org/officeDocument/2006/relationships/hyperlink" Id="rId78" Target="https://labs.la.utexas.edu/swann/the-blirt/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6" Target="https://gosling.psy.utexas.edu/scales-weve-developed/ten-item-personality-measure-tipi/" TargetMode="External" /><Relationship Type="http://schemas.openxmlformats.org/officeDocument/2006/relationships/hyperlink" Id="rId35" Target="https://ipip.ori.org/" TargetMode="External" /><Relationship Type="http://schemas.openxmlformats.org/officeDocument/2006/relationships/hyperlink" Id="rId78" Target="https://labs.la.utexas.edu/swann/the-blirt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Lecture08 Psychometrics - LIVE!</dc:title>
  <dc:creator>Dr Gordon Wright</dc:creator>
  <cp:keywords/>
  <dcterms:created xsi:type="dcterms:W3CDTF">2023-10-29T17:38:41Z</dcterms:created>
  <dcterms:modified xsi:type="dcterms:W3CDTF">2023-10-29T17:38:41Z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ibliography">
    <vt:lpwstr>refs.bib</vt:lpwstr>
  </property>
  <property fmtid="{D5CDD505-2E9C-101B-9397-08002B2CF9AE}" pid="5" name="by-author">
    <vt:lpwstr/>
  </property>
  <property fmtid="{D5CDD505-2E9C-101B-9397-08002B2CF9AE}" pid="6" name="chalkboard">
    <vt:lpwstr/>
  </property>
  <property fmtid="{D5CDD505-2E9C-101B-9397-08002B2CF9AE}" pid="7" name="csl">
    <vt:lpwstr>../apa7.csl</vt:lpwstr>
  </property>
  <property fmtid="{D5CDD505-2E9C-101B-9397-08002B2CF9AE}" pid="8" name="date-format">
    <vt:lpwstr>DD MMMM, YYYY</vt:lpwstr>
  </property>
  <property fmtid="{D5CDD505-2E9C-101B-9397-08002B2CF9AE}" pid="9" name="editor">
    <vt:lpwstr>visual</vt:lpwstr>
  </property>
  <property fmtid="{D5CDD505-2E9C-101B-9397-08002B2CF9AE}" pid="10" name="footer">
    <vt:lpwstr>PS52007D Research Methods VLE</vt:lpwstr>
  </property>
  <property fmtid="{D5CDD505-2E9C-101B-9397-08002B2CF9AE}" pid="11" name="header-includes">
    <vt:lpwstr/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labels">
    <vt:lpwstr/>
  </property>
  <property fmtid="{D5CDD505-2E9C-101B-9397-08002B2CF9AE}" pid="15" name="logo">
    <vt:lpwstr>images/RMIPHEX.png</vt:lpwstr>
  </property>
  <property fmtid="{D5CDD505-2E9C-101B-9397-08002B2CF9AE}" pid="16" name="menu">
    <vt:lpwstr>True</vt:lpwstr>
  </property>
  <property fmtid="{D5CDD505-2E9C-101B-9397-08002B2CF9AE}" pid="17" name="modulecode">
    <vt:lpwstr>PS52007D</vt:lpwstr>
  </property>
  <property fmtid="{D5CDD505-2E9C-101B-9397-08002B2CF9AE}" pid="18" name="navigation-mode">
    <vt:lpwstr>linear</vt:lpwstr>
  </property>
  <property fmtid="{D5CDD505-2E9C-101B-9397-08002B2CF9AE}" pid="19" name="subtitle">
    <vt:lpwstr>I like to develop new measures (Strongly Agree - Strongly Disagree)</vt:lpwstr>
  </property>
  <property fmtid="{D5CDD505-2E9C-101B-9397-08002B2CF9AE}" pid="20" name="toc-title">
    <vt:lpwstr>Table of contents</vt:lpwstr>
  </property>
</Properties>
</file>