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6.png" ContentType="image/png"/>
  <Override PartName="/word/media/rId21.png" ContentType="image/png"/>
  <Override PartName="/word/media/rId30.png" ContentType="image/png"/>
  <Override PartName="/word/media/rId65.png" ContentType="image/png"/>
  <Override PartName="/word/media/rId45.png" ContentType="image/png"/>
  <Override PartName="/word/media/rId69.png" ContentType="image/png"/>
  <Override PartName="/word/media/rId40.png" ContentType="image/png"/>
  <Override PartName="/word/media/rId61.png" ContentType="image/png"/>
  <Override PartName="/word/media/rId36.png" ContentType="image/png"/>
  <Override PartName="/word/media/rId78.png" ContentType="image/png"/>
  <Override PartName="/word/media/rId74.png" ContentType="image/png"/>
  <Override PartName="/word/media/rId53.png" ContentType="image/png"/>
  <Override PartName="/word/media/rId57.png" ContentType="image/png"/>
  <Override PartName="/word/media/rId95.png" ContentType="image/png"/>
  <Override PartName="/word/media/rId9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Lecture04</w:t>
      </w:r>
    </w:p>
    <w:p>
      <w:pPr>
        <w:pStyle w:val="Subtitle"/>
      </w:pPr>
      <w:r>
        <w:t xml:space="preserve">Research,</w:t>
      </w:r>
      <w:r>
        <w:t xml:space="preserve"> </w:t>
      </w:r>
      <w:r>
        <w:t xml:space="preserve">me-search</w:t>
      </w:r>
      <w:r>
        <w:t xml:space="preserve"> </w:t>
      </w:r>
      <w:r>
        <w:t xml:space="preserve">&amp;</w:t>
      </w:r>
      <w:r>
        <w:t xml:space="preserve"> </w:t>
      </w:r>
      <w:r>
        <w:t xml:space="preserve">Inclusivity</w:t>
      </w:r>
    </w:p>
    <w:p>
      <w:pPr>
        <w:pStyle w:val="Author"/>
      </w:pPr>
      <w:r>
        <w:t xml:space="preserve">Dr</w:t>
      </w:r>
      <w:r>
        <w:t xml:space="preserve"> </w:t>
      </w:r>
      <w:r>
        <w:t xml:space="preserve">Gordon</w:t>
      </w:r>
      <w:r>
        <w:t xml:space="preserve"> </w:t>
      </w:r>
      <w:r>
        <w:t xml:space="preserve">Wright</w:t>
      </w:r>
    </w:p>
    <w:p>
      <w:pPr>
        <w:pStyle w:val="Date"/>
      </w:pPr>
      <w:r>
        <w:t xml:space="preserve">24</w:t>
      </w:r>
      <w:r>
        <w:t xml:space="preserve"> </w:t>
      </w:r>
      <w:r>
        <w:t xml:space="preserve">October,</w:t>
      </w:r>
      <w:r>
        <w:t xml:space="preserve"> </w:t>
      </w:r>
      <w:r>
        <w:t xml:space="preserve">2022</w:t>
      </w:r>
    </w:p>
    <w:bookmarkStart w:id="20" w:name="key-topics-today"/>
    <w:p>
      <w:pPr>
        <w:pStyle w:val="Heading2"/>
      </w:pPr>
      <w:r>
        <w:t xml:space="preserve">Key topics today</w:t>
      </w:r>
    </w:p>
    <w:p>
      <w:pPr>
        <w:pStyle w:val="FirstParagraph"/>
      </w:pPr>
      <w:r>
        <w:t xml:space="preserve">The week ahead (week 4)</w:t>
      </w:r>
    </w:p>
    <w:p>
      <w:pPr>
        <w:numPr>
          <w:ilvl w:val="0"/>
          <w:numId w:val="1001"/>
        </w:numPr>
        <w:pStyle w:val="Compact"/>
      </w:pPr>
      <w:r>
        <w:t xml:space="preserve">Personal Tutor Meeting about well-being</w:t>
      </w:r>
    </w:p>
    <w:p>
      <w:pPr>
        <w:numPr>
          <w:ilvl w:val="0"/>
          <w:numId w:val="1001"/>
        </w:numPr>
        <w:pStyle w:val="Compact"/>
      </w:pPr>
      <w:r>
        <w:t xml:space="preserve">Departmental Seminar (week 5)</w:t>
      </w:r>
    </w:p>
    <w:p>
      <w:pPr>
        <w:numPr>
          <w:ilvl w:val="0"/>
          <w:numId w:val="1001"/>
        </w:numPr>
        <w:pStyle w:val="Compact"/>
      </w:pPr>
      <w:r>
        <w:t xml:space="preserve">Design &amp; Analysis Quiz due next week (week 5)</w:t>
      </w:r>
    </w:p>
    <w:p>
      <w:pPr>
        <w:numPr>
          <w:ilvl w:val="0"/>
          <w:numId w:val="1001"/>
        </w:numPr>
        <w:pStyle w:val="Compact"/>
      </w:pPr>
      <w:r>
        <w:t xml:space="preserve">Research as a human enterprise</w:t>
      </w:r>
    </w:p>
    <w:p>
      <w:pPr>
        <w:numPr>
          <w:ilvl w:val="0"/>
          <w:numId w:val="1001"/>
        </w:numPr>
        <w:pStyle w:val="Compact"/>
      </w:pPr>
      <w:r>
        <w:t xml:space="preserve">Lab preview - Keep pressing on with Critical Proposal (due week 5)</w:t>
      </w:r>
    </w:p>
    <w:p>
      <w:pPr>
        <w:numPr>
          <w:ilvl w:val="1"/>
          <w:numId w:val="1002"/>
        </w:numPr>
        <w:pStyle w:val="Compact"/>
      </w:pPr>
      <w:r>
        <w:t xml:space="preserve">Try to nail down your variables and your design ON THE PAGE!</w:t>
      </w:r>
    </w:p>
    <w:bookmarkEnd w:id="20"/>
    <w:bookmarkStart w:id="25" w:name="personal-tutor-meeting-week-4"/>
    <w:p>
      <w:pPr>
        <w:pStyle w:val="Heading2"/>
      </w:pPr>
      <w:r>
        <w:t xml:space="preserve">Personal Tutor Meeting Week 4</w:t>
      </w:r>
    </w:p>
    <w:p>
      <w:pPr>
        <w:pStyle w:val="FirstParagraph"/>
      </w:pPr>
      <w:r>
        <w:t xml:space="preserve">This week (week 4) your PT session is all about well-being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BodyText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22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/>
            </w:pPr>
            <w:r>
              <w:t xml:space="preserve">Please familiarise yourself with well-being services available in</w:t>
            </w:r>
            <w:r>
              <w:t xml:space="preserve"> </w:t>
            </w:r>
            <w:r>
              <w:t xml:space="preserve">college</w:t>
            </w:r>
          </w:p>
          <w:p>
            <w:pPr>
              <w:pStyle w:val="BodyText"/>
            </w:pPr>
            <w:pPr>
              <w:spacing w:after="16"/>
            </w:pPr>
            <w:hyperlink r:id="rId24">
              <w:r>
                <w:rPr>
                  <w:rStyle w:val="Hyperlink"/>
                </w:rPr>
                <w:t xml:space="preserve">https://www.gold.ac.uk/students/wellbeing/wellbeing-service/</w:t>
              </w:r>
            </w:hyperlink>
          </w:p>
        </w:tc>
      </w:tr>
    </w:tbl>
    <w:bookmarkEnd w:id="25"/>
    <w:bookmarkStart w:id="29" w:name="departmental-seminar-week-5"/>
    <w:p>
      <w:pPr>
        <w:pStyle w:val="Heading2"/>
      </w:pPr>
      <w:r>
        <w:t xml:space="preserve">Departmental Seminar (week 5)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FirstParagraph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  <w:r>
              <w:rPr>
                <w:bCs/>
                <w:b/>
              </w:rPr>
              <w:t xml:space="preserve">Dr Valentina Cazzato Liverpool JMU</w:t>
            </w:r>
          </w:p>
          <w:p>
            <w:pPr>
              <w:pStyle w:val="BodyText"/>
            </w:pPr>
            <w:pPr>
              <w:spacing w:before="16"/>
            </w:pPr>
            <w:r>
              <w:t xml:space="preserve">Behavioural and Neural Signatures of Visual Body (mis)perception</w:t>
            </w:r>
          </w:p>
          <w:p>
            <w:pPr>
              <w:pStyle w:val="BodyText"/>
            </w:pPr>
            <w:r>
              <w:t xml:space="preserve">Thursday, 3 November 2022 at 16:00 – 17:00 - RHB 300a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Visual representation of the body is a key aspect of self-body image.</w:t>
            </w:r>
            <w:r>
              <w:t xml:space="preserve"> </w:t>
            </w:r>
            <w:r>
              <w:t xml:space="preserve">Its importance in our social life is proved by the unreasonable time and</w:t>
            </w:r>
            <w:r>
              <w:t xml:space="preserve"> </w:t>
            </w:r>
            <w:r>
              <w:t xml:space="preserve">effort we put on taking care of our physical appearance, including use</w:t>
            </w:r>
            <w:r>
              <w:t xml:space="preserve"> </w:t>
            </w:r>
            <w:r>
              <w:t xml:space="preserve">of plastic surgery, as well as by the severe mental disorders linked to</w:t>
            </w:r>
            <w:r>
              <w:t xml:space="preserve"> </w:t>
            </w:r>
            <w:r>
              <w:t xml:space="preserve">its disturbance, such as Eating Disorders.</w:t>
            </w:r>
          </w:p>
        </w:tc>
      </w:tr>
    </w:tbl>
    <w:bookmarkEnd w:id="29"/>
    <w:bookmarkStart w:id="73" w:name="any-questions"/>
    <w:p>
      <w:pPr>
        <w:pStyle w:val="Heading1"/>
      </w:pPr>
      <w:r>
        <w:t xml:space="preserve">Any Questions?</w:t>
      </w:r>
    </w:p>
    <w:bookmarkStart w:id="33" w:name="in-the-first-lecture-i-mentioned"/>
    <w:p>
      <w:pPr>
        <w:pStyle w:val="Heading2"/>
      </w:pPr>
      <w:r>
        <w:t xml:space="preserve">In the first lecture I mentioned…</w:t>
      </w:r>
    </w:p>
    <w:p>
      <w:pPr>
        <w:pStyle w:val="FirstParagraph"/>
      </w:pPr>
      <w:r>
        <w:drawing>
          <wp:inline>
            <wp:extent cx="5943600" cy="1308792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images/cooltext421879728700980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87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4" w:name="but-what-did-i-mean"/>
    <w:p>
      <w:pPr>
        <w:pStyle w:val="Heading2"/>
      </w:pPr>
      <w:r>
        <w:t xml:space="preserve">But what did I mean?</w:t>
      </w:r>
    </w:p>
    <w:p>
      <w:pPr>
        <w:pStyle w:val="FirstParagraph"/>
      </w:pPr>
      <w:r>
        <w:t xml:space="preserve">Your individual</w:t>
      </w:r>
      <w:r>
        <w:t xml:space="preserve"> </w:t>
      </w:r>
      <w:r>
        <w:t xml:space="preserve">‘</w:t>
      </w:r>
      <w:r>
        <w:t xml:space="preserve">take</w:t>
      </w:r>
      <w:r>
        <w:t xml:space="preserve">’</w:t>
      </w:r>
      <w:r>
        <w:t xml:space="preserve"> </w:t>
      </w:r>
      <w:r>
        <w:t xml:space="preserve">on Psychology?</w:t>
      </w:r>
    </w:p>
    <w:p>
      <w:pPr>
        <w:pStyle w:val="BodyText"/>
      </w:pPr>
      <w:r>
        <w:t xml:space="preserve">The Psychology you need or want for the future?</w:t>
      </w:r>
    </w:p>
    <w:p>
      <w:pPr>
        <w:pStyle w:val="BodyText"/>
      </w:pPr>
      <w:r>
        <w:t xml:space="preserve">A career path with hundreds of different routes?</w:t>
      </w:r>
    </w:p>
    <w:p>
      <w:pPr>
        <w:pStyle w:val="BodyText"/>
      </w:pPr>
      <w:r>
        <w:t xml:space="preserve">or is it more personal than that?</w:t>
      </w:r>
    </w:p>
    <w:bookmarkEnd w:id="34"/>
    <w:bookmarkStart w:id="35" w:name="do-you-need-a-passion-in-psychology"/>
    <w:p>
      <w:pPr>
        <w:pStyle w:val="Heading2"/>
      </w:pPr>
      <w:r>
        <w:t xml:space="preserve">Do you need a</w:t>
      </w:r>
      <w:r>
        <w:t xml:space="preserve"> </w:t>
      </w:r>
      <w:r>
        <w:t xml:space="preserve">‘</w:t>
      </w:r>
      <w:r>
        <w:t xml:space="preserve">passion</w:t>
      </w:r>
      <w:r>
        <w:t xml:space="preserve">’</w:t>
      </w:r>
      <w:r>
        <w:t xml:space="preserve"> </w:t>
      </w:r>
      <w:r>
        <w:t xml:space="preserve">in Psychology?</w:t>
      </w:r>
    </w:p>
    <w:p>
      <w:pPr>
        <w:pStyle w:val="FirstParagraph"/>
      </w:pPr>
      <w:r>
        <w:t xml:space="preserve">We (staff) talk about this sometimes.</w:t>
      </w:r>
    </w:p>
    <w:p>
      <w:pPr>
        <w:pStyle w:val="BodyText"/>
      </w:pPr>
      <w:r>
        <w:t xml:space="preserve">Is it critical that you find a topic of interest to you?</w:t>
      </w:r>
    </w:p>
    <w:p>
      <w:pPr>
        <w:pStyle w:val="BodyText"/>
      </w:pPr>
      <w:r>
        <w:t xml:space="preserve">Does it help? Does it hinder?</w:t>
      </w:r>
    </w:p>
    <w:p>
      <w:pPr>
        <w:pStyle w:val="BodyText"/>
      </w:pPr>
      <w:r>
        <w:t xml:space="preserve">Is it possible to be a Psychologist without a personal stake?</w:t>
      </w:r>
    </w:p>
    <w:bookmarkEnd w:id="35"/>
    <w:bookmarkStart w:id="39" w:name="around-us-a-crisis-is-unfolding"/>
    <w:p>
      <w:pPr>
        <w:pStyle w:val="Heading2"/>
      </w:pPr>
      <w:r>
        <w:t xml:space="preserve">Around us a crisis is unfolding</w:t>
      </w:r>
    </w:p>
    <w:p>
      <w:pPr>
        <w:pStyle w:val="FirstParagraph"/>
      </w:pPr>
      <w:r>
        <w:drawing>
          <wp:inline>
            <wp:extent cx="5943600" cy="139951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images/paste-9127308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95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Start w:id="43" w:name="psychology-is-grossly-misunderstood"/>
    <w:p>
      <w:pPr>
        <w:pStyle w:val="Heading2"/>
      </w:pPr>
      <w:r>
        <w:t xml:space="preserve">Psychology is grossly misunderstood</w:t>
      </w:r>
    </w:p>
    <w:p>
      <w:pPr>
        <w:pStyle w:val="FirstParagraph"/>
      </w:pPr>
      <w:r>
        <w:drawing>
          <wp:inline>
            <wp:extent cx="5943600" cy="1587311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images/paste-20A00E59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7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44" w:name="next-week"/>
    <w:p>
      <w:pPr>
        <w:pStyle w:val="Heading2"/>
      </w:pPr>
      <w:r>
        <w:t xml:space="preserve">Next week</w:t>
      </w:r>
    </w:p>
    <w:p>
      <w:pPr>
        <w:pStyle w:val="FirstParagraph"/>
      </w:pPr>
      <w:r>
        <w:t xml:space="preserve">The Replication Crisis and our ongoing response - Open Science</w:t>
      </w:r>
    </w:p>
    <w:p>
      <w:pPr>
        <w:pStyle w:val="BodyText"/>
      </w:pPr>
      <w:r>
        <w:t xml:space="preserve">The practice of Psychology we encourage in you!</w:t>
      </w:r>
    </w:p>
    <w:bookmarkEnd w:id="44"/>
    <w:bookmarkStart w:id="48" w:name="research-me-search"/>
    <w:p>
      <w:pPr>
        <w:pStyle w:val="Heading2"/>
      </w:pPr>
      <w:r>
        <w:t xml:space="preserve">Research &amp; me-search</w:t>
      </w:r>
    </w:p>
    <w:p>
      <w:pPr>
        <w:pStyle w:val="FirstParagraph"/>
      </w:pPr>
      <w:r>
        <w:drawing>
          <wp:inline>
            <wp:extent cx="5943600" cy="2311844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images/paste-099457BD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18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(Altenmüller et al., 2021)</w:t>
      </w:r>
    </w:p>
    <w:bookmarkEnd w:id="48"/>
    <w:bookmarkStart w:id="49" w:name="reflexivity"/>
    <w:p>
      <w:pPr>
        <w:pStyle w:val="Heading2"/>
      </w:pPr>
      <w:r>
        <w:t xml:space="preserve">Reflexivity</w:t>
      </w:r>
    </w:p>
    <w:p>
      <w:pPr>
        <w:pStyle w:val="FirstParagraph"/>
      </w:pPr>
      <w:r>
        <w:t xml:space="preserve">Reflexivity and the psychologist</w:t>
      </w:r>
    </w:p>
    <w:p>
      <w:pPr>
        <w:pStyle w:val="BodyText"/>
      </w:pPr>
      <w:r>
        <w:t xml:space="preserve">Reflexivity generally refers to the examination of one’s own beliefs,</w:t>
      </w:r>
      <w:r>
        <w:t xml:space="preserve"> </w:t>
      </w:r>
      <w:r>
        <w:t xml:space="preserve">judgments and practices during the research process and how these may</w:t>
      </w:r>
      <w:r>
        <w:t xml:space="preserve"> </w:t>
      </w:r>
      <w:r>
        <w:t xml:space="preserve">have influenced the research.</w:t>
      </w:r>
    </w:p>
    <w:p>
      <w:pPr>
        <w:pStyle w:val="BodyText"/>
      </w:pPr>
      <w:r>
        <w:t xml:space="preserve">An integral part of the Qualitative</w:t>
      </w:r>
      <w:r>
        <w:t xml:space="preserve"> </w:t>
      </w:r>
      <w:r>
        <w:t xml:space="preserve">‘</w:t>
      </w:r>
      <w:r>
        <w:t xml:space="preserve">tradition</w:t>
      </w:r>
      <w:r>
        <w:t xml:space="preserve">’</w:t>
      </w:r>
    </w:p>
    <w:p>
      <w:pPr>
        <w:pStyle w:val="BodyText"/>
      </w:pPr>
      <w:r>
        <w:t xml:space="preserve">(Morawski, 2005)</w:t>
      </w:r>
    </w:p>
    <w:bookmarkEnd w:id="49"/>
    <w:bookmarkStart w:id="50" w:name="inclusive-research"/>
    <w:p>
      <w:pPr>
        <w:pStyle w:val="Heading2"/>
      </w:pPr>
      <w:r>
        <w:t xml:space="preserve">Inclusive Research</w:t>
      </w:r>
    </w:p>
    <w:p>
      <w:pPr>
        <w:pStyle w:val="FirstParagraph"/>
      </w:pPr>
      <w:r>
        <w:t xml:space="preserve">Inclusive research is a term that was coined in the early twenty first</w:t>
      </w:r>
      <w:r>
        <w:t xml:space="preserve"> </w:t>
      </w:r>
      <w:r>
        <w:t xml:space="preserve">century to embrace participatory and emancipatory approaches to research</w:t>
      </w:r>
      <w:r>
        <w:t xml:space="preserve"> </w:t>
      </w:r>
      <w:r>
        <w:t xml:space="preserve">with people with learning/intellectual disabilities (Walmsley 2001)</w:t>
      </w:r>
    </w:p>
    <w:p>
      <w:pPr>
        <w:pStyle w:val="BodyText"/>
      </w:pPr>
      <w:r>
        <w:t xml:space="preserve">Inclusive research embraces</w:t>
      </w:r>
      <w:r>
        <w:t xml:space="preserve"> </w:t>
      </w:r>
      <w:r>
        <w:rPr>
          <w:u w:val="single"/>
        </w:rPr>
        <w:t xml:space="preserve">participatory</w:t>
      </w:r>
      <w:r>
        <w:t xml:space="preserve"> </w:t>
      </w:r>
      <w:r>
        <w:t xml:space="preserve">and</w:t>
      </w:r>
      <w:r>
        <w:t xml:space="preserve"> </w:t>
      </w:r>
      <w:r>
        <w:rPr>
          <w:u w:val="single"/>
        </w:rPr>
        <w:t xml:space="preserve">emancipatory</w:t>
      </w:r>
      <w:r>
        <w:t xml:space="preserve"> </w:t>
      </w:r>
      <w:r>
        <w:t xml:space="preserve">approaches to research.</w:t>
      </w:r>
    </w:p>
    <w:p>
      <w:pPr>
        <w:pStyle w:val="BodyText"/>
      </w:pPr>
      <w:r>
        <w:t xml:space="preserve">Its characteristics are that it:</w:t>
      </w:r>
      <w:r>
        <w:br/>
      </w:r>
      <w:r>
        <w:t xml:space="preserve">· Is owned (not necessarily initiated) by lay people</w:t>
      </w:r>
      <w:r>
        <w:br/>
      </w:r>
      <w:r>
        <w:t xml:space="preserve">· Furthers the interests of lay people, researchers are on their side</w:t>
      </w:r>
      <w:r>
        <w:br/>
      </w:r>
      <w:r>
        <w:t xml:space="preserve">· Is collaborative</w:t>
      </w:r>
      <w:r>
        <w:br/>
      </w:r>
      <w:r>
        <w:t xml:space="preserve">· Enables lay people to exercise control over process and outcomes</w:t>
      </w:r>
      <w:r>
        <w:br/>
      </w:r>
      <w:r>
        <w:t xml:space="preserve">· Produces outputs that are accessible.</w:t>
      </w:r>
      <w:r>
        <w:br/>
      </w:r>
    </w:p>
    <w:bookmarkEnd w:id="50"/>
    <w:bookmarkStart w:id="52" w:name="context"/>
    <w:p>
      <w:pPr>
        <w:pStyle w:val="Heading2"/>
      </w:pPr>
      <w:r>
        <w:t xml:space="preserve">context</w:t>
      </w:r>
    </w:p>
    <w:p>
      <w:pPr>
        <w:pStyle w:val="FirstParagraph"/>
      </w:pPr>
      <w:r>
        <w:t xml:space="preserve">Research situated within the wider rights movement.</w:t>
      </w:r>
    </w:p>
    <w:bookmarkStart w:id="51" w:name="nothing-about-us-without-us-aspis-2000."/>
    <w:p>
      <w:pPr>
        <w:pStyle w:val="Heading4"/>
      </w:pPr>
      <w:r>
        <w:t xml:space="preserve">“</w:t>
      </w:r>
      <w:r>
        <w:t xml:space="preserve">Nothing about us without us</w:t>
      </w:r>
      <w:r>
        <w:t xml:space="preserve">”</w:t>
      </w:r>
      <w:r>
        <w:t xml:space="preserve"> </w:t>
      </w:r>
      <w:r>
        <w:t xml:space="preserve">(Aspis, 2000).</w:t>
      </w:r>
    </w:p>
    <w:p>
      <w:pPr>
        <w:pStyle w:val="FirstParagraph"/>
      </w:pPr>
      <w:r>
        <w:t xml:space="preserve">a slogan of the disabled people’s movement, has been applied to research</w:t>
      </w:r>
      <w:r>
        <w:t xml:space="preserve"> </w:t>
      </w:r>
      <w:r>
        <w:t xml:space="preserve">as well as other areas.</w:t>
      </w:r>
    </w:p>
    <w:p>
      <w:pPr>
        <w:pStyle w:val="BodyText"/>
      </w:pPr>
      <w:r>
        <w:t xml:space="preserve">“</w:t>
      </w:r>
      <w:r>
        <w:t xml:space="preserve">exclusivity not only touches but also contorts and diminishes all</w:t>
      </w:r>
      <w:r>
        <w:t xml:space="preserve"> </w:t>
      </w:r>
      <w:r>
        <w:t xml:space="preserve">aspects of psychological science</w:t>
      </w:r>
      <w:r>
        <w:t xml:space="preserve">”</w:t>
      </w:r>
      <w:r>
        <w:t xml:space="preserve"> </w:t>
      </w:r>
      <w:r>
        <w:t xml:space="preserve">(Ledgerwood et al., 2022, p.2).</w:t>
      </w:r>
    </w:p>
    <w:p>
      <w:pPr>
        <w:pStyle w:val="BodyText"/>
      </w:pPr>
      <w:r>
        <w:t xml:space="preserve">Ledgerwood et al. (2022)</w:t>
      </w:r>
    </w:p>
    <w:bookmarkEnd w:id="51"/>
    <w:bookmarkEnd w:id="52"/>
    <w:bookmarkStart w:id="56" w:name="osf-open-science-foundation"/>
    <w:p>
      <w:pPr>
        <w:pStyle w:val="Heading2"/>
      </w:pPr>
      <w:r>
        <w:t xml:space="preserve">OSF (Open Science Foundation)</w:t>
      </w:r>
    </w:p>
    <w:p>
      <w:pPr>
        <w:pStyle w:val="FirstParagraph"/>
      </w:pPr>
      <w:r>
        <w:drawing>
          <wp:inline>
            <wp:extent cx="5943600" cy="3901062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images/paste-B91D98B6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10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Start w:id="60" w:name="open-data-and-open-materials"/>
    <w:p>
      <w:pPr>
        <w:pStyle w:val="Heading2"/>
      </w:pPr>
      <w:r>
        <w:t xml:space="preserve">Open Data and Open Materials</w:t>
      </w:r>
    </w:p>
    <w:p>
      <w:pPr>
        <w:pStyle w:val="FirstParagraph"/>
      </w:pPr>
      <w:r>
        <w:drawing>
          <wp:inline>
            <wp:extent cx="5943600" cy="4361317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images/paste-CD2465BA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1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64" w:name="open-data"/>
    <w:p>
      <w:pPr>
        <w:pStyle w:val="Heading2"/>
      </w:pPr>
      <w:r>
        <w:t xml:space="preserve">Open Data</w:t>
      </w:r>
    </w:p>
    <w:p>
      <w:pPr>
        <w:pStyle w:val="FirstParagraph"/>
      </w:pPr>
      <w:r>
        <w:drawing>
          <wp:inline>
            <wp:extent cx="5943600" cy="3689357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images/paste-4D9E8FC8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93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68" w:name="open-materials"/>
    <w:p>
      <w:pPr>
        <w:pStyle w:val="Heading2"/>
      </w:pPr>
      <w:r>
        <w:t xml:space="preserve">Open Materials</w:t>
      </w:r>
    </w:p>
    <w:p>
      <w:pPr>
        <w:pStyle w:val="FirstParagraph"/>
      </w:pPr>
      <w:r>
        <w:drawing>
          <wp:inline>
            <wp:extent cx="5943600" cy="4225834"/>
            <wp:effectExtent b="0" l="0" r="0" t="0"/>
            <wp:docPr descr="" title="" id="66" name="Picture"/>
            <a:graphic>
              <a:graphicData uri="http://schemas.openxmlformats.org/drawingml/2006/picture">
                <pic:pic>
                  <pic:nvPicPr>
                    <pic:cNvPr descr="images/paste-037992D4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58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8"/>
    <w:bookmarkStart w:id="72" w:name="psyarxiv"/>
    <w:p>
      <w:pPr>
        <w:pStyle w:val="Heading2"/>
      </w:pPr>
      <w:r>
        <w:t xml:space="preserve">Psyarxiv</w:t>
      </w:r>
    </w:p>
    <w:p>
      <w:pPr>
        <w:pStyle w:val="FirstParagraph"/>
      </w:pPr>
      <w:r>
        <w:t xml:space="preserve">Conry-Murray &amp; Silverstein (n.d.)</w:t>
      </w:r>
    </w:p>
    <w:p>
      <w:pPr>
        <w:pStyle w:val="BodyText"/>
      </w:pPr>
      <w:r>
        <w:drawing>
          <wp:inline>
            <wp:extent cx="5943600" cy="2021858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images/paste-1C2D781F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18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2"/>
    <w:bookmarkEnd w:id="73"/>
    <w:bookmarkStart w:id="109" w:name="questions"/>
    <w:p>
      <w:pPr>
        <w:pStyle w:val="Heading1"/>
      </w:pPr>
      <w:r>
        <w:t xml:space="preserve">Questions?</w:t>
      </w:r>
    </w:p>
    <w:bookmarkStart w:id="77" w:name="lab-activities"/>
    <w:p>
      <w:pPr>
        <w:pStyle w:val="Heading2"/>
      </w:pPr>
      <w:r>
        <w:t xml:space="preserve">Lab activities</w:t>
      </w:r>
    </w:p>
    <w:p>
      <w:pPr>
        <w:pStyle w:val="FirstParagraph"/>
      </w:pPr>
      <w:r>
        <w:t xml:space="preserve">Keep working!</w:t>
      </w:r>
    </w:p>
    <w:p>
      <w:pPr>
        <w:pStyle w:val="BodyText"/>
      </w:pPr>
      <w:r>
        <w:t xml:space="preserve">Formalise your individual design</w:t>
      </w:r>
    </w:p>
    <w:p>
      <w:pPr>
        <w:pStyle w:val="BodyText"/>
      </w:pPr>
      <w:r>
        <w:drawing>
          <wp:inline>
            <wp:extent cx="3492500" cy="2413000"/>
            <wp:effectExtent b="0" l="0" r="0" t="0"/>
            <wp:docPr descr="" title="" id="75" name="Picture"/>
            <a:graphic>
              <a:graphicData uri="http://schemas.openxmlformats.org/drawingml/2006/picture">
                <pic:pic>
                  <pic:nvPicPr>
                    <pic:cNvPr descr="images/paste-B1D55680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7"/>
    <w:bookmarkStart w:id="81" w:name="more-specific"/>
    <w:p>
      <w:pPr>
        <w:pStyle w:val="Heading2"/>
      </w:pPr>
      <w:r>
        <w:t xml:space="preserve">More specific</w:t>
      </w:r>
    </w:p>
    <w:p>
      <w:pPr>
        <w:pStyle w:val="FirstParagraph"/>
      </w:pPr>
      <w:r>
        <w:drawing>
          <wp:inline>
            <wp:extent cx="3492500" cy="2413000"/>
            <wp:effectExtent b="0" l="0" r="0" t="0"/>
            <wp:docPr descr="" title="" id="79" name="Picture"/>
            <a:graphic>
              <a:graphicData uri="http://schemas.openxmlformats.org/drawingml/2006/picture">
                <pic:pic>
                  <pic:nvPicPr>
                    <pic:cNvPr descr="images/paste-96A3FF92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1"/>
    <w:bookmarkStart w:id="82" w:name="notation"/>
    <w:p>
      <w:pPr>
        <w:pStyle w:val="Heading2"/>
      </w:pPr>
      <w:r>
        <w:t xml:space="preserve">Notation</w:t>
      </w:r>
    </w:p>
    <w:p>
      <w:pPr>
        <w:pStyle w:val="FirstParagraph"/>
      </w:pPr>
      <w:r>
        <w:t xml:space="preserve">We use a notation system to refer to these designs:</w:t>
      </w:r>
    </w:p>
    <w:p>
      <w:pPr>
        <w:pStyle w:val="BodyText"/>
      </w:pPr>
      <w:r>
        <w:rPr>
          <w:u w:val="single"/>
        </w:rPr>
        <w:t xml:space="preserve">2x2 = Two-way ANOVA</w:t>
      </w:r>
      <w:r>
        <w:t xml:space="preserve">. There are two IVS, the first IV has</w:t>
      </w:r>
      <w:r>
        <w:t xml:space="preserve"> </w:t>
      </w:r>
      <w:r>
        <w:t xml:space="preserve">two levels, the second IV has 2 levels. There are a total of 4</w:t>
      </w:r>
      <w:r>
        <w:t xml:space="preserve"> </w:t>
      </w:r>
      <w:r>
        <w:t xml:space="preserve">conditions, 2x2 = 4.</w:t>
      </w:r>
    </w:p>
    <w:p>
      <w:pPr>
        <w:pStyle w:val="BodyText"/>
      </w:pPr>
      <w:r>
        <w:rPr>
          <w:u w:val="single"/>
        </w:rPr>
        <w:t xml:space="preserve">2x3 = Two-way ANOVA.</w:t>
      </w:r>
      <w:r>
        <w:t xml:space="preserve"> </w:t>
      </w:r>
      <w:r>
        <w:t xml:space="preserve">There are two IVs, the first IV has</w:t>
      </w:r>
      <w:r>
        <w:t xml:space="preserve"> </w:t>
      </w:r>
      <w:r>
        <w:t xml:space="preserve">two levels, the second IV has three levels. There are a total of 6</w:t>
      </w:r>
      <w:r>
        <w:t xml:space="preserve"> </w:t>
      </w:r>
      <w:r>
        <w:t xml:space="preserve">conditions, 2x3 = 6</w:t>
      </w:r>
    </w:p>
    <w:p>
      <w:pPr>
        <w:pStyle w:val="BodyText"/>
      </w:pPr>
      <w:r>
        <w:rPr>
          <w:u w:val="single"/>
        </w:rPr>
        <w:t xml:space="preserve">4x4 = Two-way ANOVA.</w:t>
      </w:r>
      <w:r>
        <w:t xml:space="preserve"> </w:t>
      </w:r>
      <w:r>
        <w:t xml:space="preserve">There are two IVs, the first IV has</w:t>
      </w:r>
      <w:r>
        <w:t xml:space="preserve"> </w:t>
      </w:r>
      <w:r>
        <w:t xml:space="preserve">4 levels, the second IV has 4 levels. There are a total of 16 condition,</w:t>
      </w:r>
      <w:r>
        <w:t xml:space="preserve"> </w:t>
      </w:r>
      <w:r>
        <w:t xml:space="preserve">4x4=16</w:t>
      </w:r>
    </w:p>
    <w:p>
      <w:pPr>
        <w:pStyle w:val="BodyText"/>
      </w:pPr>
      <w:r>
        <w:rPr>
          <w:bCs/>
          <w:b/>
          <w:u w:val="single"/>
        </w:rPr>
        <w:t xml:space="preserve">2x3x2 = Three-way ANOVA</w:t>
      </w:r>
      <w:r>
        <w:t xml:space="preserve">.There are a total of three</w:t>
      </w:r>
      <w:r>
        <w:t xml:space="preserve"> </w:t>
      </w:r>
      <w:r>
        <w:t xml:space="preserve">IVs. The first IV has 2 levels. The second IV has 3 levels. The third IV</w:t>
      </w:r>
      <w:r>
        <w:t xml:space="preserve"> </w:t>
      </w:r>
      <w:r>
        <w:t xml:space="preserve">has 2 levels. There are a total of 12 condition. 2x3x2 = 12.</w:t>
      </w:r>
    </w:p>
    <w:bookmarkEnd w:id="82"/>
    <w:bookmarkStart w:id="86" w:name="review"/>
    <w:p>
      <w:pPr>
        <w:pStyle w:val="Heading2"/>
      </w:pPr>
      <w:r>
        <w:t xml:space="preserve">Review</w:t>
      </w:r>
    </w:p>
    <w:p>
      <w:pPr>
        <w:pStyle w:val="FirstParagraph"/>
      </w:pPr>
      <w:hyperlink r:id="rId83">
        <w:r>
          <w:rPr>
            <w:rStyle w:val="Hyperlink"/>
          </w:rPr>
          <w:t xml:space="preserve">Crump, M. J. C., Navarro, D. J., &amp; Suzuki, J. (2019, June 5). Answering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Questions with Data (Textbook): Introductory Statistics for Psychology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Students.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https://doi.org/10.17605/OSF.IO/JZE52</w:t>
        </w:r>
      </w:hyperlink>
    </w:p>
    <w:p>
      <w:pPr>
        <w:pStyle w:val="BodyText"/>
      </w:pPr>
      <w:r>
        <w:t xml:space="preserve">CC BY SA 4.0</w:t>
      </w:r>
    </w:p>
    <w:p>
      <w:pPr>
        <w:pStyle w:val="BodyText"/>
      </w:pPr>
      <w:hyperlink r:id="rId84">
        <w:r>
          <w:rPr>
            <w:rStyle w:val="Hyperlink"/>
          </w:rPr>
          <w:t xml:space="preserve">https://crumplab.com/statistics/07-ANOVA.html</w:t>
        </w:r>
      </w:hyperlink>
    </w:p>
    <w:p>
      <w:pPr>
        <w:pStyle w:val="BodyText"/>
      </w:pPr>
      <w:hyperlink r:id="rId85">
        <w:r>
          <w:rPr>
            <w:rStyle w:val="Hyperlink"/>
          </w:rPr>
          <w:t xml:space="preserve">https://crumplab.com/statistics/10-MixedANOVA.html#x2-designs</w:t>
        </w:r>
      </w:hyperlink>
    </w:p>
    <w:bookmarkEnd w:id="86"/>
    <w:bookmarkStart w:id="87" w:name="flavours-of-2x2-anova"/>
    <w:p>
      <w:pPr>
        <w:pStyle w:val="Heading2"/>
      </w:pPr>
      <w:r>
        <w:t xml:space="preserve">3</w:t>
      </w:r>
      <w:r>
        <w:t xml:space="preserve"> </w:t>
      </w:r>
      <w:r>
        <w:t xml:space="preserve">‘</w:t>
      </w:r>
      <w:r>
        <w:t xml:space="preserve">flavours</w:t>
      </w:r>
      <w:r>
        <w:t xml:space="preserve">’</w:t>
      </w:r>
      <w:r>
        <w:t xml:space="preserve"> </w:t>
      </w:r>
      <w:r>
        <w:t xml:space="preserve">of 2x2 ANOVA</w:t>
      </w:r>
    </w:p>
    <w:p>
      <w:pPr>
        <w:pStyle w:val="FirstParagraph"/>
      </w:pPr>
      <w:r>
        <w:rPr>
          <w:bCs/>
          <w:b/>
        </w:rPr>
        <w:t xml:space="preserve">2bx2b</w:t>
      </w:r>
      <w:r>
        <w:t xml:space="preserve"> </w:t>
      </w:r>
      <w:r>
        <w:t xml:space="preserve">- Between-subjects/Factorial ANOVA</w:t>
      </w:r>
    </w:p>
    <w:p>
      <w:pPr>
        <w:pStyle w:val="BodyText"/>
      </w:pPr>
      <w:r>
        <w:rPr>
          <w:bCs/>
          <w:b/>
        </w:rPr>
        <w:t xml:space="preserve">2wx2w</w:t>
      </w:r>
      <w:r>
        <w:t xml:space="preserve"> </w:t>
      </w:r>
      <w:r>
        <w:t xml:space="preserve">- Within-subject/Repeated Measures ANOVA</w:t>
      </w:r>
    </w:p>
    <w:p>
      <w:pPr>
        <w:pStyle w:val="BodyText"/>
      </w:pPr>
      <w:r>
        <w:rPr>
          <w:bCs/>
          <w:b/>
        </w:rPr>
        <w:t xml:space="preserve">2bx2w</w:t>
      </w:r>
      <w:r>
        <w:t xml:space="preserve"> </w:t>
      </w:r>
      <w:r>
        <w:t xml:space="preserve">or</w:t>
      </w:r>
      <w:r>
        <w:t xml:space="preserve"> </w:t>
      </w:r>
      <w:r>
        <w:rPr>
          <w:bCs/>
          <w:b/>
        </w:rPr>
        <w:t xml:space="preserve">2wx2b</w:t>
      </w:r>
      <w:r>
        <w:t xml:space="preserve"> </w:t>
      </w:r>
      <w:r>
        <w:t xml:space="preserve">- Mixed ANOVA</w:t>
      </w:r>
    </w:p>
    <w:p>
      <w:pPr>
        <w:pStyle w:val="BodyText"/>
      </w:pPr>
      <w:r>
        <w:t xml:space="preserve">You will be using one of these (all supported by SPSS Exercise 1 &amp; 2)</w:t>
      </w:r>
    </w:p>
    <w:p>
      <w:pPr>
        <w:pStyle w:val="BodyText"/>
      </w:pPr>
      <w:r>
        <w:t xml:space="preserve">JAMOVI is a reasonable alternative to SPSS</w:t>
      </w:r>
    </w:p>
    <w:bookmarkEnd w:id="87"/>
    <w:bookmarkStart w:id="88" w:name="the-3-effects-possible-in-a-2x2-anova"/>
    <w:p>
      <w:pPr>
        <w:pStyle w:val="Heading2"/>
      </w:pPr>
      <w:r>
        <w:t xml:space="preserve">The 3 effects possible in a 2x2 ANOVA</w:t>
      </w:r>
    </w:p>
    <w:p>
      <w:pPr>
        <w:pStyle w:val="FirstParagraph"/>
      </w:pPr>
      <w:r>
        <w:t xml:space="preserve">Main effect of IV1</w:t>
      </w:r>
    </w:p>
    <w:p>
      <w:pPr>
        <w:pStyle w:val="BodyText"/>
      </w:pPr>
      <w:r>
        <w:t xml:space="preserve">Main effect of IV2</w:t>
      </w:r>
    </w:p>
    <w:p>
      <w:pPr>
        <w:pStyle w:val="BodyText"/>
      </w:pPr>
      <w:r>
        <w:t xml:space="preserve">Interaction of IV1*IV2</w:t>
      </w:r>
    </w:p>
    <w:bookmarkEnd w:id="88"/>
    <w:bookmarkStart w:id="89" w:name="X16d32b4f6fbf2a9b7089ec9e9c7cb247d4b1415"/>
    <w:p>
      <w:pPr>
        <w:pStyle w:val="Heading2"/>
      </w:pPr>
      <w:r>
        <w:t xml:space="preserve">therefore 8 possible</w:t>
      </w:r>
      <w:r>
        <w:t xml:space="preserve"> </w:t>
      </w:r>
      <w:r>
        <w:t xml:space="preserve">‘</w:t>
      </w:r>
      <w:r>
        <w:t xml:space="preserve">outcomes</w:t>
      </w:r>
      <w:r>
        <w:t xml:space="preserve">’</w:t>
      </w:r>
      <w:r>
        <w:t xml:space="preserve"> </w:t>
      </w:r>
      <w:r>
        <w:t xml:space="preserve">of a 2x2 ANOVA</w:t>
      </w:r>
    </w:p>
    <w:p>
      <w:pPr>
        <w:numPr>
          <w:ilvl w:val="0"/>
          <w:numId w:val="1003"/>
        </w:numPr>
        <w:pStyle w:val="Compact"/>
      </w:pPr>
      <w:r>
        <w:t xml:space="preserve">no IV1 main effect, no IV2 main effect, no interaction</w:t>
      </w:r>
    </w:p>
    <w:p>
      <w:pPr>
        <w:numPr>
          <w:ilvl w:val="0"/>
          <w:numId w:val="1003"/>
        </w:numPr>
        <w:pStyle w:val="Compact"/>
      </w:pPr>
      <w:r>
        <w:t xml:space="preserve">IV1 main effect, no IV2 main effect, no interaction</w:t>
      </w:r>
    </w:p>
    <w:p>
      <w:pPr>
        <w:numPr>
          <w:ilvl w:val="0"/>
          <w:numId w:val="1003"/>
        </w:numPr>
        <w:pStyle w:val="Compact"/>
      </w:pPr>
      <w:r>
        <w:t xml:space="preserve">IV1 main effect, no IV2 main effect, interaction</w:t>
      </w:r>
    </w:p>
    <w:p>
      <w:pPr>
        <w:numPr>
          <w:ilvl w:val="0"/>
          <w:numId w:val="1003"/>
        </w:numPr>
        <w:pStyle w:val="Compact"/>
      </w:pPr>
      <w:r>
        <w:t xml:space="preserve">IV1 main effect, IV2 main effect, no interaction</w:t>
      </w:r>
    </w:p>
    <w:p>
      <w:pPr>
        <w:numPr>
          <w:ilvl w:val="0"/>
          <w:numId w:val="1003"/>
        </w:numPr>
        <w:pStyle w:val="Compact"/>
      </w:pPr>
      <w:r>
        <w:t xml:space="preserve">IV1 main effect, IV2 main effect, interaction</w:t>
      </w:r>
    </w:p>
    <w:p>
      <w:pPr>
        <w:numPr>
          <w:ilvl w:val="0"/>
          <w:numId w:val="1003"/>
        </w:numPr>
        <w:pStyle w:val="Compact"/>
      </w:pPr>
      <w:r>
        <w:t xml:space="preserve">no IV1 main effect, IV2 main effect, no interaction</w:t>
      </w:r>
    </w:p>
    <w:p>
      <w:pPr>
        <w:numPr>
          <w:ilvl w:val="0"/>
          <w:numId w:val="1003"/>
        </w:numPr>
        <w:pStyle w:val="Compact"/>
      </w:pPr>
      <w:r>
        <w:t xml:space="preserve">no IV1 main effect, IV2 main effect, interaction</w:t>
      </w:r>
    </w:p>
    <w:p>
      <w:pPr>
        <w:numPr>
          <w:ilvl w:val="0"/>
          <w:numId w:val="1003"/>
        </w:numPr>
        <w:pStyle w:val="Compact"/>
      </w:pPr>
      <w:r>
        <w:t xml:space="preserve">no IV1 main effect, no IV2 main effect, interaction</w:t>
      </w:r>
    </w:p>
    <w:bookmarkEnd w:id="89"/>
    <w:bookmarkStart w:id="90" w:name="graph-key"/>
    <w:p>
      <w:pPr>
        <w:pStyle w:val="Heading2"/>
      </w:pPr>
      <w:r>
        <w:t xml:space="preserve">graph key</w:t>
      </w:r>
    </w:p>
    <w:p>
      <w:pPr>
        <w:numPr>
          <w:ilvl w:val="0"/>
          <w:numId w:val="1004"/>
        </w:numPr>
        <w:pStyle w:val="Compact"/>
      </w:pPr>
      <w:r>
        <w:t xml:space="preserve">1 = there was a main effect for IV1.</w:t>
      </w:r>
    </w:p>
    <w:p>
      <w:pPr>
        <w:numPr>
          <w:ilvl w:val="0"/>
          <w:numId w:val="1004"/>
        </w:numPr>
        <w:pStyle w:val="Compact"/>
      </w:pPr>
      <w:r>
        <w:t xml:space="preserve">~1 = there was</w:t>
      </w:r>
      <w:r>
        <w:t xml:space="preserve"> </w:t>
      </w:r>
      <w:r>
        <w:rPr>
          <w:bCs/>
          <w:b/>
        </w:rPr>
        <w:t xml:space="preserve">not</w:t>
      </w:r>
      <w:r>
        <w:t xml:space="preserve"> </w:t>
      </w:r>
      <w:r>
        <w:t xml:space="preserve">a main effect for IV1</w:t>
      </w:r>
    </w:p>
    <w:p>
      <w:pPr>
        <w:numPr>
          <w:ilvl w:val="0"/>
          <w:numId w:val="1004"/>
        </w:numPr>
        <w:pStyle w:val="Compact"/>
      </w:pPr>
      <w:r>
        <w:t xml:space="preserve">2 = there was a main effect for IV2</w:t>
      </w:r>
    </w:p>
    <w:p>
      <w:pPr>
        <w:numPr>
          <w:ilvl w:val="0"/>
          <w:numId w:val="1004"/>
        </w:numPr>
        <w:pStyle w:val="Compact"/>
      </w:pPr>
      <w:r>
        <w:t xml:space="preserve">~2 = there was</w:t>
      </w:r>
      <w:r>
        <w:t xml:space="preserve"> </w:t>
      </w:r>
      <w:r>
        <w:rPr>
          <w:bCs/>
          <w:b/>
        </w:rPr>
        <w:t xml:space="preserve">not</w:t>
      </w:r>
      <w:r>
        <w:t xml:space="preserve"> </w:t>
      </w:r>
      <w:r>
        <w:t xml:space="preserve">a main effect of IV2</w:t>
      </w:r>
    </w:p>
    <w:p>
      <w:pPr>
        <w:numPr>
          <w:ilvl w:val="0"/>
          <w:numId w:val="1004"/>
        </w:numPr>
        <w:pStyle w:val="Compact"/>
      </w:pPr>
      <w:r>
        <w:t xml:space="preserve">1x2 = there was an interaction</w:t>
      </w:r>
    </w:p>
    <w:p>
      <w:pPr>
        <w:numPr>
          <w:ilvl w:val="0"/>
          <w:numId w:val="1004"/>
        </w:numPr>
        <w:pStyle w:val="Compact"/>
      </w:pPr>
      <w:r>
        <w:t xml:space="preserve">~1x2 = there was</w:t>
      </w:r>
      <w:r>
        <w:t xml:space="preserve"> </w:t>
      </w:r>
      <w:r>
        <w:rPr>
          <w:bCs/>
          <w:b/>
        </w:rPr>
        <w:t xml:space="preserve">not</w:t>
      </w:r>
      <w:r>
        <w:t xml:space="preserve"> </w:t>
      </w:r>
      <w:r>
        <w:t xml:space="preserve">an interaction</w:t>
      </w:r>
    </w:p>
    <w:bookmarkEnd w:id="90"/>
    <w:bookmarkStart w:id="94" w:name="bar-charts"/>
    <w:p>
      <w:pPr>
        <w:pStyle w:val="Heading2"/>
      </w:pPr>
      <w:r>
        <w:t xml:space="preserve">Bar charts</w:t>
      </w:r>
    </w:p>
    <w:p>
      <w:pPr>
        <w:pStyle w:val="FirstParagraph"/>
      </w:pPr>
      <w:r>
        <w:drawing>
          <wp:inline>
            <wp:extent cx="5943600" cy="4117141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images/paste-F1923E23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71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4"/>
    <w:bookmarkStart w:id="98" w:name="line-plots"/>
    <w:p>
      <w:pPr>
        <w:pStyle w:val="Heading2"/>
      </w:pPr>
      <w:r>
        <w:t xml:space="preserve">Line plots</w:t>
      </w:r>
    </w:p>
    <w:p>
      <w:pPr>
        <w:pStyle w:val="FirstParagraph"/>
      </w:pPr>
      <w:r>
        <w:drawing>
          <wp:inline>
            <wp:extent cx="5943600" cy="4105928"/>
            <wp:effectExtent b="0" l="0" r="0" t="0"/>
            <wp:docPr descr="" title="" id="96" name="Picture"/>
            <a:graphic>
              <a:graphicData uri="http://schemas.openxmlformats.org/drawingml/2006/picture">
                <pic:pic>
                  <pic:nvPicPr>
                    <pic:cNvPr descr="images/paste-CEDD217D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8"/>
    <w:bookmarkStart w:id="108" w:name="references"/>
    <w:p>
      <w:pPr>
        <w:pStyle w:val="Heading2"/>
      </w:pPr>
      <w:r>
        <w:t xml:space="preserve">References</w:t>
      </w:r>
    </w:p>
    <w:bookmarkStart w:id="107" w:name="refs"/>
    <w:bookmarkStart w:id="100" w:name="ref-altenmuller2021"/>
    <w:p>
      <w:pPr>
        <w:pStyle w:val="Bibliography"/>
      </w:pPr>
      <w:r>
        <w:t xml:space="preserve">Altenmüller, M. S., Lange, L. L., &amp; Gollwitzer, M. (2021). When research is me-search: How researchers’ motivation to pursue a topic affects laypeople’s trust in science.</w:t>
      </w:r>
      <w:r>
        <w:t xml:space="preserve"> </w:t>
      </w:r>
      <w:r>
        <w:rPr>
          <w:iCs/>
          <w:i/>
        </w:rPr>
        <w:t xml:space="preserve">PLoS ONE</w:t>
      </w:r>
      <w:r>
        <w:t xml:space="preserve">,</w:t>
      </w:r>
      <w:r>
        <w:t xml:space="preserve"> </w:t>
      </w:r>
      <w:r>
        <w:rPr>
          <w:iCs/>
          <w:i/>
        </w:rPr>
        <w:t xml:space="preserve">16</w:t>
      </w:r>
      <w:r>
        <w:t xml:space="preserve">(7), e0253911.</w:t>
      </w:r>
      <w:r>
        <w:t xml:space="preserve"> </w:t>
      </w:r>
      <w:hyperlink r:id="rId99">
        <w:r>
          <w:rPr>
            <w:rStyle w:val="Hyperlink"/>
          </w:rPr>
          <w:t xml:space="preserve">https://doi.org/10.1371/journal.pone.0253911</w:t>
        </w:r>
      </w:hyperlink>
    </w:p>
    <w:bookmarkEnd w:id="100"/>
    <w:bookmarkStart w:id="102" w:name="ref-conry-murray2022"/>
    <w:p>
      <w:pPr>
        <w:pStyle w:val="Bibliography"/>
      </w:pPr>
      <w:r>
        <w:t xml:space="preserve">Conry-Murray, C., &amp; Silverstein, P. (n.d.).</w:t>
      </w:r>
      <w:r>
        <w:t xml:space="preserve"> </w:t>
      </w:r>
      <w:r>
        <w:rPr>
          <w:iCs/>
          <w:i/>
        </w:rPr>
        <w:t xml:space="preserve">The role of values in psychological science: Examining identity-based inclusivity</w:t>
      </w:r>
      <w:r>
        <w:t xml:space="preserve">.</w:t>
      </w:r>
      <w:r>
        <w:t xml:space="preserve"> </w:t>
      </w:r>
      <w:hyperlink r:id="rId101">
        <w:r>
          <w:rPr>
            <w:rStyle w:val="Hyperlink"/>
          </w:rPr>
          <w:t xml:space="preserve">https://doi.org/10.31234/osf.io/cskg2</w:t>
        </w:r>
      </w:hyperlink>
    </w:p>
    <w:bookmarkEnd w:id="102"/>
    <w:bookmarkStart w:id="104" w:name="ref-ledgerwood2022"/>
    <w:p>
      <w:pPr>
        <w:pStyle w:val="Bibliography"/>
      </w:pPr>
      <w:r>
        <w:t xml:space="preserve">Ledgerwood, A., Hudson, S. T. J., Lewis, N. A., Maddox, K. B., Pickett, C. L., Remedios, J. D., Cheryan, S., Diekman, A. B., Dutra, N. B., Goh, J. X., &amp; al., et. (2022). The pandemic as a portal: Reimagining psychological science as truly open and inclusive.</w:t>
      </w:r>
      <w:r>
        <w:t xml:space="preserve"> </w:t>
      </w:r>
      <w:r>
        <w:rPr>
          <w:iCs/>
          <w:i/>
        </w:rPr>
        <w:t xml:space="preserve">Perspectives on Psychological Science</w:t>
      </w:r>
      <w:r>
        <w:t xml:space="preserve">,</w:t>
      </w:r>
      <w:r>
        <w:t xml:space="preserve"> </w:t>
      </w:r>
      <w:r>
        <w:rPr>
          <w:iCs/>
          <w:i/>
        </w:rPr>
        <w:t xml:space="preserve">17</w:t>
      </w:r>
      <w:r>
        <w:t xml:space="preserve">(4), 937–959.</w:t>
      </w:r>
      <w:r>
        <w:t xml:space="preserve"> </w:t>
      </w:r>
      <w:hyperlink r:id="rId103">
        <w:r>
          <w:rPr>
            <w:rStyle w:val="Hyperlink"/>
          </w:rPr>
          <w:t xml:space="preserve">https://doi.org/10.1177/17456916211036654</w:t>
        </w:r>
      </w:hyperlink>
    </w:p>
    <w:bookmarkEnd w:id="104"/>
    <w:bookmarkStart w:id="106" w:name="ref-morawski2005"/>
    <w:p>
      <w:pPr>
        <w:pStyle w:val="Bibliography"/>
      </w:pPr>
      <w:r>
        <w:t xml:space="preserve">Morawski, J. G. (2005). Reflexivity and the psychologist.</w:t>
      </w:r>
      <w:r>
        <w:t xml:space="preserve"> </w:t>
      </w:r>
      <w:r>
        <w:rPr>
          <w:iCs/>
          <w:i/>
        </w:rPr>
        <w:t xml:space="preserve">History of the Human Sciences</w:t>
      </w:r>
      <w:r>
        <w:t xml:space="preserve">,</w:t>
      </w:r>
      <w:r>
        <w:t xml:space="preserve"> </w:t>
      </w:r>
      <w:r>
        <w:rPr>
          <w:iCs/>
          <w:i/>
        </w:rPr>
        <w:t xml:space="preserve">18</w:t>
      </w:r>
      <w:r>
        <w:t xml:space="preserve">(4), 77–105.</w:t>
      </w:r>
      <w:r>
        <w:t xml:space="preserve"> </w:t>
      </w:r>
      <w:hyperlink r:id="rId105">
        <w:r>
          <w:rPr>
            <w:rStyle w:val="Hyperlink"/>
          </w:rPr>
          <w:t xml:space="preserve">https://doi.org/10.1177/0952695105058472</w:t>
        </w:r>
      </w:hyperlink>
    </w:p>
    <w:bookmarkEnd w:id="106"/>
    <w:bookmarkEnd w:id="107"/>
    <w:bookmarkEnd w:id="108"/>
    <w:bookmarkEnd w:id="109"/>
    <w:sectPr w:rsidR="0088650E" w:rsidRPr="00E343F9"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DF66E58A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5F98E458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B4026960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4EA5DD0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12906A7E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cs="Symbol" w:hAnsi="Symbol" w:hint="default"/>
      </w:rPr>
    </w:lvl>
  </w:abstractNum>
  <w:abstractNum w15:restartNumberingAfterBreak="0" w:abstractNumId="5">
    <w:nsid w:val="FFFFFF81"/>
    <w:multiLevelType w:val="singleLevel"/>
    <w:tmpl w:val="EBD6FB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F12A7248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A6082D0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7430E372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A4AC0676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FC5E68C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463625701" w:numId="1">
    <w:abstractNumId w:val="10"/>
  </w:num>
  <w:num w16cid:durableId="398986169" w:numId="2">
    <w:abstractNumId w:val="0"/>
  </w:num>
  <w:num w16cid:durableId="1447194981" w:numId="3">
    <w:abstractNumId w:val="1"/>
  </w:num>
  <w:num w16cid:durableId="1354303259" w:numId="4">
    <w:abstractNumId w:val="2"/>
  </w:num>
  <w:num w16cid:durableId="1099714785" w:numId="5">
    <w:abstractNumId w:val="3"/>
  </w:num>
  <w:num w16cid:durableId="1800102660" w:numId="6">
    <w:abstractNumId w:val="8"/>
  </w:num>
  <w:num w16cid:durableId="1079213627" w:numId="7">
    <w:abstractNumId w:val="4"/>
  </w:num>
  <w:num w16cid:durableId="2073961952" w:numId="8">
    <w:abstractNumId w:val="5"/>
  </w:num>
  <w:num w16cid:durableId="649210763" w:numId="9">
    <w:abstractNumId w:val="6"/>
  </w:num>
  <w:num w16cid:durableId="1063018244" w:numId="10">
    <w:abstractNumId w:val="7"/>
  </w:num>
  <w:num w16cid:durableId="184291971" w:numId="11">
    <w:abstractNumId w:val="9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89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011855"/>
    <w:pPr>
      <w:spacing w:before="120"/>
    </w:pPr>
    <w:rPr>
      <w:rFonts w:ascii="Atkinson Hyperlegible" w:hAnsi="Atkinson Hyperlegible"/>
    </w:rPr>
  </w:style>
  <w:style w:styleId="Heading1" w:type="paragraph">
    <w:name w:val="heading 1"/>
    <w:basedOn w:val="Normal"/>
    <w:next w:val="BodyText"/>
    <w:uiPriority w:val="9"/>
    <w:qFormat/>
    <w:rsid w:val="000E3EAF"/>
    <w:pPr>
      <w:keepNext/>
      <w:keepLines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hd w:color="auto" w:fill="auto" w:val="pct15"/>
      <w:spacing w:after="0" w:before="480"/>
      <w:outlineLvl w:val="0"/>
    </w:pPr>
    <w:rPr>
      <w:rFonts w:cstheme="majorBidi" w:eastAsiaTheme="majorEastAsia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rsid w:val="003E251B"/>
    <w:pPr>
      <w:keepNext/>
      <w:keepLines/>
      <w:pBdr>
        <w:top w:color="auto" w:space="4" w:sz="4" w:val="single"/>
      </w:pBdr>
      <w:spacing w:after="480" w:before="480"/>
      <w:contextualSpacing/>
      <w:jc w:val="center"/>
      <w:outlineLvl w:val="1"/>
    </w:pPr>
    <w:rPr>
      <w:rFonts w:cstheme="majorBidi" w:eastAsiaTheme="majorEastAsia"/>
      <w:b/>
      <w:bCs/>
      <w:color w:themeColor="text2" w:val="1F497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2"/>
    </w:pPr>
    <w:rPr>
      <w:rFonts w:cstheme="majorBidi" w:eastAsiaTheme="majorEastAsia"/>
      <w:b/>
      <w:bCs/>
      <w:color w:themeColor="accent1" w:val="4F81BD"/>
    </w:rPr>
  </w:style>
  <w:style w:styleId="Heading4" w:type="paragraph">
    <w:name w:val="heading 4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3"/>
    </w:pPr>
    <w:rPr>
      <w:rFonts w:cstheme="majorBidi" w:eastAsiaTheme="majorEastAsia"/>
      <w:bCs/>
      <w:i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4"/>
    </w:pPr>
    <w:rPr>
      <w:rFonts w:cstheme="majorBidi" w:eastAsiaTheme="majorEastAsia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5"/>
    </w:pPr>
    <w:rPr>
      <w:rFonts w:cstheme="majorBidi" w:eastAsiaTheme="majorEastAsia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6"/>
    </w:pPr>
    <w:rPr>
      <w:rFonts w:cstheme="majorBidi" w:eastAsiaTheme="majorEastAsia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7"/>
    </w:pPr>
    <w:rPr>
      <w:rFonts w:cstheme="majorBidi" w:eastAsiaTheme="majorEastAsia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8"/>
    </w:pPr>
    <w:rPr>
      <w:rFonts w:cstheme="majorBidi" w:eastAsiaTheme="majorEastAsia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rsid w:val="00641073"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  <w:rsid w:val="00641073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rsid w:val="006D2303"/>
    <w:pPr>
      <w:keepNext/>
      <w:keepLines/>
      <w:spacing w:after="240" w:before="480"/>
      <w:jc w:val="center"/>
    </w:pPr>
    <w:rPr>
      <w:rFonts w:cstheme="majorBidi" w:eastAsiaTheme="majorEastAsia"/>
      <w:b/>
      <w:bCs/>
      <w:color w:val="325B74"/>
      <w:sz w:val="36"/>
      <w:szCs w:val="36"/>
    </w:rPr>
  </w:style>
  <w:style w:styleId="Subtitle" w:type="paragraph">
    <w:name w:val="Subtitle"/>
    <w:basedOn w:val="Title"/>
    <w:next w:val="BodyText"/>
    <w:qFormat/>
    <w:rsid w:val="006D2303"/>
    <w:pPr>
      <w:spacing w:before="240"/>
    </w:pPr>
    <w:rPr>
      <w:i/>
      <w:sz w:val="30"/>
      <w:szCs w:val="30"/>
    </w:rPr>
  </w:style>
  <w:style w:customStyle="1" w:styleId="Author" w:type="paragraph">
    <w:name w:val="Author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styleId="Date" w:type="paragraph">
    <w:name w:val="Date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customStyle="1" w:styleId="Abstract" w:type="paragraph">
    <w:name w:val="Abstract"/>
    <w:basedOn w:val="Normal"/>
    <w:next w:val="BodyText"/>
    <w:qFormat/>
    <w:rsid w:val="00641073"/>
    <w:pPr>
      <w:keepNext/>
      <w:keepLines/>
      <w:spacing w:after="300" w:before="300"/>
    </w:pPr>
    <w:rPr>
      <w:rFonts w:cs="Times New Roman (Body CS)"/>
      <w:sz w:val="20"/>
      <w:szCs w:val="20"/>
    </w:rPr>
  </w:style>
  <w:style w:styleId="Bibliography" w:type="paragraph">
    <w:name w:val="Bibliography"/>
    <w:basedOn w:val="Normal"/>
    <w:qFormat/>
    <w:rsid w:val="004C5413"/>
    <w:pPr>
      <w:ind w:hanging="510" w:left="510"/>
    </w:p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  <w:rsid w:val="00E343F9"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rsid w:val="00E343F9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  <w:rsid w:val="00E343F9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rsid w:val="00E343F9"/>
    <w:pPr>
      <w:keepNext/>
    </w:pPr>
  </w:style>
  <w:style w:customStyle="1" w:styleId="ImageCaption" w:type="paragraph">
    <w:name w:val="Image Caption"/>
    <w:basedOn w:val="Caption"/>
    <w:rsid w:val="00E343F9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Pr>
      <w:rFonts w:ascii="Consolas" w:hAnsi="Consolas"/>
      <w:sz w:val="22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sid w:val="00E343F9"/>
    <w:rPr>
      <w:vertAlign w:val="superscript"/>
    </w:rPr>
  </w:style>
  <w:style w:styleId="Hyperlink" w:type="character">
    <w:name w:val="Hyperlink"/>
    <w:basedOn w:val="CaptionChar"/>
    <w:rsid w:val="00E343F9"/>
    <w:rPr>
      <w:rFonts w:ascii="Atkinson Hyperlegible" w:hAnsi="Atkinson Hyperlegible"/>
      <w:color w:val="0070C0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themeColor="accent1" w:themeShade="BF" w:val="365F91"/>
    </w:rPr>
  </w:style>
  <w:style w:styleId="FollowedHyperlink" w:type="character">
    <w:name w:val="FollowedHyperlink"/>
    <w:basedOn w:val="DefaultParagraphFont"/>
    <w:semiHidden/>
    <w:unhideWhenUsed/>
    <w:rsid w:val="00641073"/>
    <w:rPr>
      <w:color w:themeColor="followedHyperlink" w:val="800080"/>
      <w:u w:val="single"/>
    </w:rPr>
  </w:style>
  <w:style w:customStyle="1" w:styleId="BodyTextChar" w:type="character">
    <w:name w:val="Body Text Char"/>
    <w:basedOn w:val="DefaultParagraphFont"/>
    <w:link w:val="BodyText"/>
    <w:rsid w:val="00641073"/>
    <w:rPr>
      <w:rFonts w:ascii="Atkinson Hyperlegible" w:hAnsi="Atkinson Hyperlegible"/>
    </w:rPr>
  </w:style>
  <w:style w:styleId="NoteHeading" w:type="paragraph">
    <w:name w:val="Note Heading"/>
    <w:basedOn w:val="Normal"/>
    <w:next w:val="Normal"/>
    <w:link w:val="NoteHeadingChar"/>
    <w:rsid w:val="00CF50C1"/>
    <w:pPr>
      <w:spacing w:after="0"/>
    </w:pPr>
  </w:style>
  <w:style w:customStyle="1" w:styleId="NoteHeadingChar" w:type="character">
    <w:name w:val="Note Heading Char"/>
    <w:basedOn w:val="DefaultParagraphFont"/>
    <w:link w:val="NoteHeading"/>
    <w:rsid w:val="00CF50C1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6" Target="media/rId26.png" /><Relationship Type="http://schemas.openxmlformats.org/officeDocument/2006/relationships/image" Id="rId21" Target="media/rId21.png" /><Relationship Type="http://schemas.openxmlformats.org/officeDocument/2006/relationships/image" Id="rId30" Target="media/rId30.png" /><Relationship Type="http://schemas.openxmlformats.org/officeDocument/2006/relationships/image" Id="rId65" Target="media/rId65.png" /><Relationship Type="http://schemas.openxmlformats.org/officeDocument/2006/relationships/image" Id="rId45" Target="media/rId45.png" /><Relationship Type="http://schemas.openxmlformats.org/officeDocument/2006/relationships/image" Id="rId69" Target="media/rId69.png" /><Relationship Type="http://schemas.openxmlformats.org/officeDocument/2006/relationships/image" Id="rId40" Target="media/rId40.png" /><Relationship Type="http://schemas.openxmlformats.org/officeDocument/2006/relationships/image" Id="rId61" Target="media/rId61.png" /><Relationship Type="http://schemas.openxmlformats.org/officeDocument/2006/relationships/image" Id="rId36" Target="media/rId36.png" /><Relationship Type="http://schemas.openxmlformats.org/officeDocument/2006/relationships/image" Id="rId78" Target="media/rId78.png" /><Relationship Type="http://schemas.openxmlformats.org/officeDocument/2006/relationships/image" Id="rId74" Target="media/rId74.png" /><Relationship Type="http://schemas.openxmlformats.org/officeDocument/2006/relationships/image" Id="rId53" Target="media/rId53.png" /><Relationship Type="http://schemas.openxmlformats.org/officeDocument/2006/relationships/image" Id="rId57" Target="media/rId57.png" /><Relationship Type="http://schemas.openxmlformats.org/officeDocument/2006/relationships/image" Id="rId95" Target="media/rId95.png" /><Relationship Type="http://schemas.openxmlformats.org/officeDocument/2006/relationships/image" Id="rId91" Target="media/rId91.png" /><Relationship Type="http://schemas.openxmlformats.org/officeDocument/2006/relationships/hyperlink" Id="rId84" Target="https://crumplab.com/statistics/07-ANOVA.html" TargetMode="External" /><Relationship Type="http://schemas.openxmlformats.org/officeDocument/2006/relationships/hyperlink" Id="rId85" Target="https://crumplab.com/statistics/10-MixedANOVA.html#x2-designs" TargetMode="External" /><Relationship Type="http://schemas.openxmlformats.org/officeDocument/2006/relationships/hyperlink" Id="rId83" Target="https://crumplab.github.io/statistics/" TargetMode="External" /><Relationship Type="http://schemas.openxmlformats.org/officeDocument/2006/relationships/hyperlink" Id="rId105" Target="https://doi.org/10.1177/0952695105058472" TargetMode="External" /><Relationship Type="http://schemas.openxmlformats.org/officeDocument/2006/relationships/hyperlink" Id="rId103" Target="https://doi.org/10.1177/17456916211036654" TargetMode="External" /><Relationship Type="http://schemas.openxmlformats.org/officeDocument/2006/relationships/hyperlink" Id="rId99" Target="https://doi.org/10.1371/journal.pone.0253911" TargetMode="External" /><Relationship Type="http://schemas.openxmlformats.org/officeDocument/2006/relationships/hyperlink" Id="rId101" Target="https://doi.org/10.31234/osf.io/cskg2" TargetMode="External" /><Relationship Type="http://schemas.openxmlformats.org/officeDocument/2006/relationships/hyperlink" Id="rId24" Target="https://www.gold.ac.uk/students/wellbeing/wellbeing-service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84" Target="https://crumplab.com/statistics/07-ANOVA.html" TargetMode="External" /><Relationship Type="http://schemas.openxmlformats.org/officeDocument/2006/relationships/hyperlink" Id="rId85" Target="https://crumplab.com/statistics/10-MixedANOVA.html#x2-designs" TargetMode="External" /><Relationship Type="http://schemas.openxmlformats.org/officeDocument/2006/relationships/hyperlink" Id="rId83" Target="https://crumplab.github.io/statistics/" TargetMode="External" /><Relationship Type="http://schemas.openxmlformats.org/officeDocument/2006/relationships/hyperlink" Id="rId105" Target="https://doi.org/10.1177/0952695105058472" TargetMode="External" /><Relationship Type="http://schemas.openxmlformats.org/officeDocument/2006/relationships/hyperlink" Id="rId103" Target="https://doi.org/10.1177/17456916211036654" TargetMode="External" /><Relationship Type="http://schemas.openxmlformats.org/officeDocument/2006/relationships/hyperlink" Id="rId99" Target="https://doi.org/10.1371/journal.pone.0253911" TargetMode="External" /><Relationship Type="http://schemas.openxmlformats.org/officeDocument/2006/relationships/hyperlink" Id="rId101" Target="https://doi.org/10.31234/osf.io/cskg2" TargetMode="External" /><Relationship Type="http://schemas.openxmlformats.org/officeDocument/2006/relationships/hyperlink" Id="rId24" Target="https://www.gold.ac.uk/students/wellbeing/wellbeing-service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Lecture04</dc:title>
  <dc:creator>Dr Gordon Wright</dc:creator>
  <cp:keywords/>
  <dcterms:created xsi:type="dcterms:W3CDTF">2023-10-29T17:38:17Z</dcterms:created>
  <dcterms:modified xsi:type="dcterms:W3CDTF">2023-10-29T17:38:17Z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>references.bib</vt:lpwstr>
  </property>
  <property fmtid="{D5CDD505-2E9C-101B-9397-08002B2CF9AE}" pid="5" name="by-author">
    <vt:lpwstr/>
  </property>
  <property fmtid="{D5CDD505-2E9C-101B-9397-08002B2CF9AE}" pid="6" name="chalkboard">
    <vt:lpwstr>True</vt:lpwstr>
  </property>
  <property fmtid="{D5CDD505-2E9C-101B-9397-08002B2CF9AE}" pid="7" name="csl">
    <vt:lpwstr>../apa7.csl</vt:lpwstr>
  </property>
  <property fmtid="{D5CDD505-2E9C-101B-9397-08002B2CF9AE}" pid="8" name="date">
    <vt:lpwstr>24 October, 2022</vt:lpwstr>
  </property>
  <property fmtid="{D5CDD505-2E9C-101B-9397-08002B2CF9AE}" pid="9" name="date-format">
    <vt:lpwstr>DD MMMM, YYYY</vt:lpwstr>
  </property>
  <property fmtid="{D5CDD505-2E9C-101B-9397-08002B2CF9AE}" pid="10" name="editor">
    <vt:lpwstr>visual</vt:lpwstr>
  </property>
  <property fmtid="{D5CDD505-2E9C-101B-9397-08002B2CF9AE}" pid="11" name="footer">
    <vt:lpwstr>VLE</vt:lpwstr>
  </property>
  <property fmtid="{D5CDD505-2E9C-101B-9397-08002B2CF9AE}" pid="12" name="header-includes">
    <vt:lpwstr/>
  </property>
  <property fmtid="{D5CDD505-2E9C-101B-9397-08002B2CF9AE}" pid="13" name="include-after">
    <vt:lpwstr/>
  </property>
  <property fmtid="{D5CDD505-2E9C-101B-9397-08002B2CF9AE}" pid="14" name="include-before">
    <vt:lpwstr/>
  </property>
  <property fmtid="{D5CDD505-2E9C-101B-9397-08002B2CF9AE}" pid="15" name="labels">
    <vt:lpwstr/>
  </property>
  <property fmtid="{D5CDD505-2E9C-101B-9397-08002B2CF9AE}" pid="16" name="logo">
    <vt:lpwstr>images/RMIPHEX.png</vt:lpwstr>
  </property>
  <property fmtid="{D5CDD505-2E9C-101B-9397-08002B2CF9AE}" pid="17" name="menu">
    <vt:lpwstr>True</vt:lpwstr>
  </property>
  <property fmtid="{D5CDD505-2E9C-101B-9397-08002B2CF9AE}" pid="18" name="modulecode">
    <vt:lpwstr>PS52007D</vt:lpwstr>
  </property>
  <property fmtid="{D5CDD505-2E9C-101B-9397-08002B2CF9AE}" pid="19" name="navigation-mode">
    <vt:lpwstr>linear</vt:lpwstr>
  </property>
  <property fmtid="{D5CDD505-2E9C-101B-9397-08002B2CF9AE}" pid="20" name="preview-links">
    <vt:lpwstr>True</vt:lpwstr>
  </property>
  <property fmtid="{D5CDD505-2E9C-101B-9397-08002B2CF9AE}" pid="21" name="subtitle">
    <vt:lpwstr>Research, me-search &amp; Inclusivity</vt:lpwstr>
  </property>
  <property fmtid="{D5CDD505-2E9C-101B-9397-08002B2CF9AE}" pid="22" name="toc-title">
    <vt:lpwstr>Table of contents</vt:lpwstr>
  </property>
</Properties>
</file>