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media/rId113.png" ContentType="image/png"/>
  <Override PartName="/word/media/rId109.png" ContentType="image/png"/>
  <Override PartName="/word/media/rId77.png" ContentType="image/png"/>
  <Override PartName="/word/media/rId21.jpg" ContentType="image/jpeg"/>
  <Override PartName="/word/media/rId24.jpg" ContentType="image/jpeg"/>
  <Override PartName="/word/media/rId30.jpg" ContentType="image/jpeg"/>
  <Override PartName="/word/media/rId33.jpg" ContentType="image/jpeg"/>
  <Override PartName="/word/media/rId36.jpg" ContentType="image/jpeg"/>
  <Override PartName="/word/media/rId27.jpg" ContentType="image/jpeg"/>
  <Override PartName="/word/media/rId39.jpg" ContentType="image/jpeg"/>
  <Override PartName="/word/media/rId64.png" ContentType="image/png"/>
  <Override PartName="/word/media/rId68.png" ContentType="image/png"/>
  <Override PartName="/word/media/rId47.png" ContentType="image/png"/>
  <Override PartName="/word/media/rId120.png" ContentType="image/png"/>
  <Override PartName="/word/media/rId60.png" ContentType="image/png"/>
  <Override PartName="/word/media/rId87.png" ContentType="image/png"/>
  <Override PartName="/word/media/rId95.png" ContentType="image/png"/>
  <Override PartName="/word/media/rId52.png" ContentType="image/png"/>
  <Override PartName="/word/media/rId99.png" ContentType="image/png"/>
  <Override PartName="/word/media/rId56.png" ContentType="image/png"/>
  <Override PartName="/word/media/rId9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Lecture01</w:t>
      </w:r>
    </w:p>
    <w:p>
      <w:pPr>
        <w:pStyle w:val="Subtitle"/>
      </w:pPr>
      <w:r>
        <w:t xml:space="preserve">Module</w:t>
      </w:r>
      <w:r>
        <w:t xml:space="preserve"> </w:t>
      </w:r>
      <w:r>
        <w:t xml:space="preserve">Overview</w:t>
      </w:r>
      <w:r>
        <w:t xml:space="preserve"> </w:t>
      </w:r>
      <w:r>
        <w:t xml:space="preserve">&amp;</w:t>
      </w:r>
      <w:r>
        <w:t xml:space="preserve"> </w:t>
      </w:r>
      <w:r>
        <w:t xml:space="preserve">What</w:t>
      </w:r>
      <w:r>
        <w:t xml:space="preserve"> </w:t>
      </w:r>
      <w:r>
        <w:t xml:space="preserve">is</w:t>
      </w:r>
      <w:r>
        <w:t xml:space="preserve"> </w:t>
      </w:r>
      <w:r>
        <w:t xml:space="preserve">Science?</w:t>
      </w:r>
    </w:p>
    <w:p>
      <w:pPr>
        <w:pStyle w:val="Author"/>
      </w:pPr>
      <w:r>
        <w:t xml:space="preserve">Dr</w:t>
      </w:r>
      <w:r>
        <w:t xml:space="preserve"> </w:t>
      </w:r>
      <w:r>
        <w:t xml:space="preserve">Gordon</w:t>
      </w:r>
      <w:r>
        <w:t xml:space="preserve"> </w:t>
      </w:r>
      <w:r>
        <w:t xml:space="preserve">Wright</w:t>
      </w:r>
    </w:p>
    <w:p>
      <w:pPr>
        <w:pStyle w:val="Date"/>
      </w:pPr>
      <w:r>
        <w:t xml:space="preserve">03</w:t>
      </w:r>
      <w:r>
        <w:t xml:space="preserve"> </w:t>
      </w:r>
      <w:r>
        <w:t xml:space="preserve">October,</w:t>
      </w:r>
      <w:r>
        <w:t xml:space="preserve"> </w:t>
      </w:r>
      <w:r>
        <w:t xml:space="preserve">2022</w:t>
      </w:r>
    </w:p>
    <w:bookmarkStart w:id="20" w:name="key-topics-today"/>
    <w:p>
      <w:pPr>
        <w:pStyle w:val="Heading2"/>
      </w:pPr>
      <w:r>
        <w:t xml:space="preserve">Key topics today</w:t>
      </w:r>
    </w:p>
    <w:p>
      <w:pPr>
        <w:numPr>
          <w:ilvl w:val="0"/>
          <w:numId w:val="1001"/>
        </w:numPr>
        <w:pStyle w:val="Compact"/>
      </w:pPr>
      <w:r>
        <w:t xml:space="preserve">Module structure and coursework</w:t>
      </w:r>
    </w:p>
    <w:p>
      <w:pPr>
        <w:numPr>
          <w:ilvl w:val="1"/>
          <w:numId w:val="1002"/>
        </w:numPr>
        <w:pStyle w:val="Compact"/>
      </w:pPr>
      <w:r>
        <w:t xml:space="preserve">Critical Proposal (15%)</w:t>
      </w:r>
    </w:p>
    <w:p>
      <w:pPr>
        <w:numPr>
          <w:ilvl w:val="1"/>
          <w:numId w:val="1002"/>
        </w:numPr>
        <w:pStyle w:val="Compact"/>
      </w:pPr>
      <w:r>
        <w:t xml:space="preserve">Mini-Dissertation (70%)</w:t>
      </w:r>
    </w:p>
    <w:p>
      <w:pPr>
        <w:numPr>
          <w:ilvl w:val="1"/>
          <w:numId w:val="1002"/>
        </w:numPr>
        <w:pStyle w:val="Compact"/>
      </w:pPr>
      <w:r>
        <w:t xml:space="preserve">Conceptual, Historical &amp; Integrative Perspectives Log (CHIP</w:t>
      </w:r>
      <w:r>
        <w:t xml:space="preserve"> </w:t>
      </w:r>
      <w:r>
        <w:t xml:space="preserve">Log) (15%)</w:t>
      </w:r>
    </w:p>
    <w:p>
      <w:pPr>
        <w:numPr>
          <w:ilvl w:val="0"/>
          <w:numId w:val="1001"/>
        </w:numPr>
        <w:pStyle w:val="Compact"/>
      </w:pPr>
      <w:r>
        <w:t xml:space="preserve">Labs in general and the lab tomorrow</w:t>
      </w:r>
    </w:p>
    <w:p>
      <w:pPr>
        <w:numPr>
          <w:ilvl w:val="0"/>
          <w:numId w:val="1001"/>
        </w:numPr>
        <w:pStyle w:val="Compact"/>
      </w:pPr>
      <w:r>
        <w:t xml:space="preserve">Materials, independent study, SUCCESS!</w:t>
      </w:r>
    </w:p>
    <w:bookmarkEnd w:id="20"/>
    <w:bookmarkStart w:id="42" w:name="section"/>
    <w:p>
      <w:pPr>
        <w:pStyle w:val="Heading2"/>
      </w:pPr>
    </w:p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2857500" cy="3810000"/>
                  <wp:effectExtent b="0" l="0" r="0" t="0"/>
                  <wp:docPr descr="" title="" id="22" name="Picture"/>
                  <a:graphic>
                    <a:graphicData uri="http://schemas.openxmlformats.org/drawingml/2006/picture">
                      <pic:pic>
                        <pic:nvPicPr>
                          <pic:cNvPr descr="images/CityDog.jpg" id="23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/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2857500" cy="3810000"/>
                  <wp:effectExtent b="0" l="0" r="0" t="0"/>
                  <wp:docPr descr="" title="" id="25" name="Picture"/>
                  <a:graphic>
                    <a:graphicData uri="http://schemas.openxmlformats.org/drawingml/2006/picture">
                      <pic:pic>
                        <pic:nvPicPr>
                          <pic:cNvPr descr="images/DogBird.jpg" id="26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/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2857500" cy="3810000"/>
                  <wp:effectExtent b="0" l="0" r="0" t="0"/>
                  <wp:docPr descr="" title="" id="28" name="Picture"/>
                  <a:graphic>
                    <a:graphicData uri="http://schemas.openxmlformats.org/drawingml/2006/picture">
                      <pic:pic>
                        <pic:nvPicPr>
                          <pic:cNvPr descr="images/PubDog.jpg" id="29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/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2857500" cy="3810000"/>
                  <wp:effectExtent b="0" l="0" r="0" t="0"/>
                  <wp:docPr descr="" title="" id="31" name="Picture"/>
                  <a:graphic>
                    <a:graphicData uri="http://schemas.openxmlformats.org/drawingml/2006/picture">
                      <pic:pic>
                        <pic:nvPicPr>
                          <pic:cNvPr descr="images/FionaandDougalinthepub.JPG" id="32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/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2857500" cy="3811905"/>
                  <wp:effectExtent b="0" l="0" r="0" t="0"/>
                  <wp:docPr descr="" title="" id="34" name="Picture"/>
                  <a:graphic>
                    <a:graphicData uri="http://schemas.openxmlformats.org/drawingml/2006/picture">
                      <pic:pic>
                        <pic:nvPicPr>
                          <pic:cNvPr descr="images/GordonBeth.JPG" id="35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381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/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5943600" cy="4457700"/>
                  <wp:effectExtent b="0" l="0" r="0" t="0"/>
                  <wp:docPr descr="" title="" id="37" name="Picture"/>
                  <a:graphic>
                    <a:graphicData uri="http://schemas.openxmlformats.org/drawingml/2006/picture">
                      <pic:pic>
                        <pic:nvPicPr>
                          <pic:cNvPr descr="images/OneShow.JPG" id="38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/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3810000" cy="5892922"/>
                  <wp:effectExtent b="0" l="0" r="0" t="0"/>
                  <wp:docPr descr="" title="" id="40" name="Picture"/>
                  <a:graphic>
                    <a:graphicData uri="http://schemas.openxmlformats.org/drawingml/2006/picture">
                      <pic:pic>
                        <pic:nvPicPr>
                          <pic:cNvPr descr="images/TIKTOKFamous.jpg" id="41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5892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bookmarkEnd w:id="42"/>
    <w:bookmarkStart w:id="43" w:name="but-seriously"/>
    <w:p>
      <w:pPr>
        <w:pStyle w:val="Heading2"/>
      </w:pPr>
      <w:r>
        <w:t xml:space="preserve">But seriously…</w:t>
      </w:r>
    </w:p>
    <w:p>
      <w:pPr>
        <w:numPr>
          <w:ilvl w:val="0"/>
          <w:numId w:val="1003"/>
        </w:numPr>
        <w:pStyle w:val="Compact"/>
      </w:pPr>
      <w:r>
        <w:t xml:space="preserve">Formerly worked in advertising industry for big agencies</w:t>
      </w:r>
    </w:p>
    <w:p>
      <w:pPr>
        <w:numPr>
          <w:ilvl w:val="0"/>
          <w:numId w:val="1003"/>
        </w:numPr>
        <w:pStyle w:val="Compact"/>
      </w:pPr>
      <w:r>
        <w:t xml:space="preserve">Impulsively started a Psych degree in 2006 (age 30+)</w:t>
      </w:r>
    </w:p>
    <w:p>
      <w:pPr>
        <w:numPr>
          <w:ilvl w:val="0"/>
          <w:numId w:val="1003"/>
        </w:numPr>
        <w:pStyle w:val="Compact"/>
      </w:pPr>
      <w:r>
        <w:t xml:space="preserve">My research interests are interpersonal deception, antagonistic</w:t>
      </w:r>
      <w:r>
        <w:t xml:space="preserve"> </w:t>
      </w:r>
      <w:r>
        <w:t xml:space="preserve">personalities and behaviours, and how people obtain, process, and</w:t>
      </w:r>
      <w:r>
        <w:t xml:space="preserve"> </w:t>
      </w:r>
      <w:r>
        <w:t xml:space="preserve">use social information/person perception in their everyday lives</w:t>
      </w:r>
    </w:p>
    <w:p>
      <w:pPr>
        <w:numPr>
          <w:ilvl w:val="0"/>
          <w:numId w:val="1003"/>
        </w:numPr>
        <w:pStyle w:val="Compact"/>
      </w:pPr>
      <w:r>
        <w:t xml:space="preserve">Got my PhD in 2014, post-doc with the Intelligence Agencies,</w:t>
      </w:r>
      <w:r>
        <w:t xml:space="preserve"> </w:t>
      </w:r>
      <w:r>
        <w:t xml:space="preserve">Teaching Fellow then Lecturer in the department of Psychology</w:t>
      </w:r>
    </w:p>
    <w:p>
      <w:pPr>
        <w:numPr>
          <w:ilvl w:val="0"/>
          <w:numId w:val="1003"/>
        </w:numPr>
        <w:pStyle w:val="Compact"/>
      </w:pPr>
      <w:r>
        <w:t xml:space="preserve">And I</w:t>
      </w:r>
      <w:r>
        <w:t xml:space="preserve"> </w:t>
      </w:r>
      <w:r>
        <w:t xml:space="preserve">LOVE IT !!</w:t>
      </w:r>
      <w:r>
        <w:t xml:space="preserve"> </w:t>
      </w:r>
      <w:r>
        <w:t xml:space="preserve">The Psychology we do here is unique!</w:t>
      </w:r>
    </w:p>
    <w:bookmarkEnd w:id="43"/>
    <w:bookmarkStart w:id="44" w:name="but-first"/>
    <w:p>
      <w:pPr>
        <w:pStyle w:val="Heading2"/>
      </w:pPr>
      <w:r>
        <w:t xml:space="preserve">But first</w:t>
      </w:r>
    </w:p>
    <w:p>
      <w:pPr>
        <w:numPr>
          <w:ilvl w:val="0"/>
          <w:numId w:val="1004"/>
        </w:numPr>
        <w:pStyle w:val="Compact"/>
      </w:pPr>
      <w:r>
        <w:t xml:space="preserve">The importance of your</w:t>
      </w:r>
      <w:r>
        <w:t xml:space="preserve"> </w:t>
      </w:r>
      <w:r>
        <w:t xml:space="preserve">‘</w:t>
      </w:r>
      <w:r>
        <w:t xml:space="preserve">participation</w:t>
      </w:r>
      <w:r>
        <w:t xml:space="preserve">’</w:t>
      </w:r>
    </w:p>
    <w:p>
      <w:pPr>
        <w:numPr>
          <w:ilvl w:val="0"/>
          <w:numId w:val="1004"/>
        </w:numPr>
        <w:pStyle w:val="Compact"/>
      </w:pPr>
      <w:r>
        <w:t xml:space="preserve">If you don’t engage, it is difficult to respond to your needs</w:t>
      </w:r>
    </w:p>
    <w:p>
      <w:pPr>
        <w:numPr>
          <w:ilvl w:val="0"/>
          <w:numId w:val="1004"/>
        </w:numPr>
        <w:pStyle w:val="Compact"/>
      </w:pPr>
      <w:r>
        <w:t xml:space="preserve">I want you to find</w:t>
      </w:r>
      <w:r>
        <w:t xml:space="preserve"> </w:t>
      </w:r>
      <w:r>
        <w:rPr>
          <w:bCs/>
          <w:b/>
        </w:rPr>
        <w:t xml:space="preserve">“</w:t>
      </w:r>
      <w:r>
        <w:rPr>
          <w:bCs/>
          <w:b/>
        </w:rPr>
        <w:t xml:space="preserve">MyPsychology</w:t>
      </w:r>
      <w:r>
        <w:rPr>
          <w:bCs/>
          <w:b/>
        </w:rPr>
        <w:t xml:space="preserve">”</w:t>
      </w:r>
    </w:p>
    <w:p>
      <w:pPr>
        <w:numPr>
          <w:ilvl w:val="0"/>
          <w:numId w:val="1004"/>
        </w:numPr>
        <w:pStyle w:val="Compact"/>
      </w:pPr>
      <w:r>
        <w:t xml:space="preserve">Easier to keep up than catch-up</w:t>
      </w:r>
    </w:p>
    <w:p>
      <w:pPr>
        <w:numPr>
          <w:ilvl w:val="0"/>
          <w:numId w:val="1004"/>
        </w:numPr>
        <w:pStyle w:val="Compact"/>
      </w:pPr>
      <w:r>
        <w:t xml:space="preserve">We have numerous safeguards in place to protect you this year</w:t>
      </w:r>
    </w:p>
    <w:p>
      <w:pPr>
        <w:numPr>
          <w:ilvl w:val="0"/>
          <w:numId w:val="1004"/>
        </w:numPr>
        <w:pStyle w:val="Compact"/>
      </w:pPr>
      <w:r>
        <w:t xml:space="preserve">The only thing that should be worried this year is Shoddy Science!</w:t>
      </w:r>
    </w:p>
    <w:bookmarkEnd w:id="44"/>
    <w:bookmarkStart w:id="126" w:name="module-overview"/>
    <w:p>
      <w:pPr>
        <w:pStyle w:val="Heading1"/>
      </w:pPr>
      <w:r>
        <w:t xml:space="preserve">Module Overview</w:t>
      </w:r>
    </w:p>
    <w:bookmarkStart w:id="45" w:name="module-weighting-and-assessment"/>
    <w:p>
      <w:pPr>
        <w:pStyle w:val="Heading2"/>
      </w:pPr>
      <w:r>
        <w:t xml:space="preserve">Module weighting and assessment</w:t>
      </w:r>
    </w:p>
    <w:p>
      <w:pPr>
        <w:pStyle w:val="FirstParagraph"/>
      </w:pPr>
      <w:r>
        <w:t xml:space="preserve">Research Methods is a core module with a 30 credit weighting</w:t>
      </w:r>
    </w:p>
    <w:p>
      <w:pPr>
        <w:pStyle w:val="BodyText"/>
      </w:pPr>
      <w:r>
        <w:t xml:space="preserve">This means that in order to progress to Y3, you must pass all 3</w:t>
      </w:r>
      <w:r>
        <w:t xml:space="preserve"> </w:t>
      </w:r>
      <w:r>
        <w:t xml:space="preserve">assessment elements:</w:t>
      </w:r>
    </w:p>
    <w:p>
      <w:pPr>
        <w:numPr>
          <w:ilvl w:val="1"/>
          <w:numId w:val="1006"/>
        </w:numPr>
      </w:pPr>
      <w:r>
        <w:t xml:space="preserve">Critical Proposal 1,800 words (15%)</w:t>
      </w:r>
    </w:p>
    <w:p>
      <w:pPr>
        <w:numPr>
          <w:ilvl w:val="1"/>
          <w:numId w:val="1006"/>
        </w:numPr>
      </w:pPr>
      <w:r>
        <w:t xml:space="preserve">Mini-Dissertation 2,500 words (70%)</w:t>
      </w:r>
    </w:p>
    <w:p>
      <w:pPr>
        <w:numPr>
          <w:ilvl w:val="1"/>
          <w:numId w:val="1006"/>
        </w:numPr>
      </w:pPr>
      <w:r>
        <w:t xml:space="preserve">CHIP Learning Log 1,200 words (15%)</w:t>
      </w:r>
    </w:p>
    <w:bookmarkEnd w:id="45"/>
    <w:bookmarkStart w:id="51" w:name="welcome-to-research-methods"/>
    <w:p>
      <w:pPr>
        <w:pStyle w:val="Heading2"/>
      </w:pPr>
      <w:r>
        <w:t xml:space="preserve">Welcome to Research Methods!</w:t>
      </w:r>
    </w:p>
    <w:p>
      <w:pPr>
        <w:pStyle w:val="FirstParagraph"/>
      </w:pPr>
      <w:hyperlink r:id="rId46">
        <w:r>
          <w:rPr>
            <w:rStyle w:val="Hyperlink"/>
          </w:rPr>
          <w:t xml:space="preserve">APA Skillful Psychology</w:t>
        </w:r>
        <w:r>
          <w:rPr>
            <w:rStyle w:val="Hyperlink"/>
          </w:rPr>
          <w:t xml:space="preserve"> </w:t>
        </w:r>
        <w:r>
          <w:rPr>
            <w:rStyle w:val="Hyperlink"/>
          </w:rPr>
          <w:t xml:space="preserve">Student</w:t>
        </w:r>
      </w:hyperlink>
    </w:p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2924175" cy="3810597"/>
                  <wp:effectExtent b="0" l="0" r="0" t="0"/>
                  <wp:docPr descr="" title="" id="48" name="Picture"/>
                  <a:graphic>
                    <a:graphicData uri="http://schemas.openxmlformats.org/drawingml/2006/picture">
                      <pic:pic>
                        <pic:nvPicPr>
                          <pic:cNvPr descr="images/paste-51D3847E.png" id="49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38105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p>
      <w:pPr>
        <w:pStyle w:val="BodyText"/>
      </w:pPr>
      <w:r>
        <w:t xml:space="preserve">Naufel, K. Z., Appleby, D. C., Young, J., Van Kirk, J. F., Spencer, S.</w:t>
      </w:r>
      <w:r>
        <w:t xml:space="preserve"> </w:t>
      </w:r>
      <w:r>
        <w:t xml:space="preserve">M., Rudmann, J., …Richmond, A. S. (2018).The skillful psychology</w:t>
      </w:r>
      <w:r>
        <w:t xml:space="preserve"> </w:t>
      </w:r>
      <w:r>
        <w:t xml:space="preserve">student: Prepared for success in the 21st century workplace. Retrieved</w:t>
      </w:r>
      <w:r>
        <w:t xml:space="preserve"> </w:t>
      </w:r>
      <w:r>
        <w:t xml:space="preserve">from:</w:t>
      </w:r>
      <w:r>
        <w:t xml:space="preserve"> </w:t>
      </w:r>
      <w:hyperlink r:id="rId50">
        <w:r>
          <w:rPr>
            <w:rStyle w:val="Hyperlink"/>
          </w:rPr>
          <w:t xml:space="preserve">https://www.apa.org/careers/resources/guides/transferable-skills.pdf</w:t>
        </w:r>
      </w:hyperlink>
    </w:p>
    <w:bookmarkEnd w:id="51"/>
    <w:bookmarkStart w:id="55" w:name="cognitive-skills"/>
    <w:p>
      <w:pPr>
        <w:pStyle w:val="Heading2"/>
      </w:pPr>
      <w:r>
        <w:t xml:space="preserve">Cognitive Skills</w:t>
      </w:r>
    </w:p>
    <w:p>
      <w:pPr>
        <w:pStyle w:val="FirstParagraph"/>
      </w:pPr>
      <w:r>
        <w:drawing>
          <wp:inline>
            <wp:extent cx="5943600" cy="1589954"/>
            <wp:effectExtent b="0" l="0" r="0" t="0"/>
            <wp:docPr descr="" title="" id="53" name="Picture"/>
            <a:graphic>
              <a:graphicData uri="http://schemas.openxmlformats.org/drawingml/2006/picture">
                <pic:pic>
                  <pic:nvPicPr>
                    <pic:cNvPr descr="images/paste-B0779020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99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55"/>
    <w:bookmarkStart w:id="59" w:name="communication-skills"/>
    <w:p>
      <w:pPr>
        <w:pStyle w:val="Heading2"/>
      </w:pPr>
      <w:r>
        <w:t xml:space="preserve">Communication Skills</w:t>
      </w:r>
    </w:p>
    <w:p>
      <w:pPr>
        <w:pStyle w:val="FirstParagraph"/>
      </w:pPr>
      <w:r>
        <w:drawing>
          <wp:inline>
            <wp:extent cx="5943600" cy="1030543"/>
            <wp:effectExtent b="0" l="0" r="0" t="0"/>
            <wp:docPr descr="" title="" id="57" name="Picture"/>
            <a:graphic>
              <a:graphicData uri="http://schemas.openxmlformats.org/drawingml/2006/picture">
                <pic:pic>
                  <pic:nvPicPr>
                    <pic:cNvPr descr="images/paste-B710C4C4.png" id="58" name="Picture"/>
                    <pic:cNvPicPr>
                      <a:picLocks noChangeArrowheads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305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59"/>
    <w:bookmarkStart w:id="63" w:name="personal-skills"/>
    <w:p>
      <w:pPr>
        <w:pStyle w:val="Heading2"/>
      </w:pPr>
      <w:r>
        <w:t xml:space="preserve">Personal Skills</w:t>
      </w:r>
    </w:p>
    <w:p>
      <w:pPr>
        <w:pStyle w:val="FirstParagraph"/>
      </w:pPr>
      <w:r>
        <w:drawing>
          <wp:inline>
            <wp:extent cx="5943600" cy="1183984"/>
            <wp:effectExtent b="0" l="0" r="0" t="0"/>
            <wp:docPr descr="" title="" id="61" name="Picture"/>
            <a:graphic>
              <a:graphicData uri="http://schemas.openxmlformats.org/drawingml/2006/picture">
                <pic:pic>
                  <pic:nvPicPr>
                    <pic:cNvPr descr="images/paste-839343D0.png" id="62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839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63"/>
    <w:bookmarkStart w:id="67" w:name="social-skills"/>
    <w:p>
      <w:pPr>
        <w:pStyle w:val="Heading2"/>
      </w:pPr>
      <w:r>
        <w:t xml:space="preserve">Social Skills</w:t>
      </w:r>
    </w:p>
    <w:p>
      <w:pPr>
        <w:pStyle w:val="FirstParagraph"/>
      </w:pPr>
      <w:r>
        <w:drawing>
          <wp:inline>
            <wp:extent cx="5943600" cy="1836964"/>
            <wp:effectExtent b="0" l="0" r="0" t="0"/>
            <wp:docPr descr="" title="" id="65" name="Picture"/>
            <a:graphic>
              <a:graphicData uri="http://schemas.openxmlformats.org/drawingml/2006/picture">
                <pic:pic>
                  <pic:nvPicPr>
                    <pic:cNvPr descr="images/paste-245BC02C.png" id="66" name="Picture"/>
                    <pic:cNvPicPr>
                      <a:picLocks noChangeArrowheads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3696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67"/>
    <w:bookmarkStart w:id="71" w:name="technological-skills"/>
    <w:p>
      <w:pPr>
        <w:pStyle w:val="Heading2"/>
      </w:pPr>
      <w:r>
        <w:t xml:space="preserve">Technological Skills</w:t>
      </w:r>
    </w:p>
    <w:p>
      <w:pPr>
        <w:pStyle w:val="FirstParagraph"/>
      </w:pPr>
      <w:r>
        <w:drawing>
          <wp:inline>
            <wp:extent cx="5943600" cy="1014000"/>
            <wp:effectExtent b="0" l="0" r="0" t="0"/>
            <wp:docPr descr="" title="" id="69" name="Picture"/>
            <a:graphic>
              <a:graphicData uri="http://schemas.openxmlformats.org/drawingml/2006/picture">
                <pic:pic>
                  <pic:nvPicPr>
                    <pic:cNvPr descr="images/paste-2BE97958.png" id="70" name="Picture"/>
                    <pic:cNvPicPr>
                      <a:picLocks noChangeArrowheads="1"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1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71"/>
    <w:bookmarkStart w:id="72" w:name="these-are-valuable-skills"/>
    <w:p>
      <w:pPr>
        <w:pStyle w:val="Heading2"/>
      </w:pPr>
      <w:r>
        <w:t xml:space="preserve">These are valuable skills</w:t>
      </w:r>
    </w:p>
    <w:p>
      <w:pPr>
        <w:pStyle w:val="FirstParagraph"/>
      </w:pPr>
      <w:r>
        <w:t xml:space="preserve">I’m going to try to</w:t>
      </w:r>
      <w:r>
        <w:t xml:space="preserve"> </w:t>
      </w:r>
      <w:r>
        <w:t xml:space="preserve">‘</w:t>
      </w:r>
      <w:r>
        <w:t xml:space="preserve">connect the dots</w:t>
      </w:r>
      <w:r>
        <w:t xml:space="preserve">’</w:t>
      </w:r>
      <w:r>
        <w:t xml:space="preserve"> </w:t>
      </w:r>
      <w:r>
        <w:t xml:space="preserve">for you along the way</w:t>
      </w:r>
    </w:p>
    <w:p>
      <w:pPr>
        <w:numPr>
          <w:ilvl w:val="0"/>
          <w:numId w:val="1007"/>
        </w:numPr>
        <w:pStyle w:val="Compact"/>
      </w:pPr>
      <w:r>
        <w:t xml:space="preserve">Cognitive (e.g., creativity and information management).</w:t>
      </w:r>
    </w:p>
    <w:p>
      <w:pPr>
        <w:numPr>
          <w:ilvl w:val="0"/>
          <w:numId w:val="1007"/>
        </w:numPr>
        <w:pStyle w:val="Compact"/>
      </w:pPr>
      <w:r>
        <w:t xml:space="preserve">Communication (e.g., active listening and public speaking).</w:t>
      </w:r>
    </w:p>
    <w:p>
      <w:pPr>
        <w:numPr>
          <w:ilvl w:val="0"/>
          <w:numId w:val="1007"/>
        </w:numPr>
        <w:pStyle w:val="Compact"/>
      </w:pPr>
      <w:r>
        <w:t xml:space="preserve">Personal (e.g., conscientiousness and integrity).</w:t>
      </w:r>
    </w:p>
    <w:p>
      <w:pPr>
        <w:numPr>
          <w:ilvl w:val="0"/>
          <w:numId w:val="1007"/>
        </w:numPr>
        <w:pStyle w:val="Compact"/>
      </w:pPr>
      <w:r>
        <w:t xml:space="preserve">Social (e.g., collaboration and leadership abilities).</w:t>
      </w:r>
    </w:p>
    <w:p>
      <w:pPr>
        <w:numPr>
          <w:ilvl w:val="0"/>
          <w:numId w:val="1007"/>
        </w:numPr>
        <w:pStyle w:val="Compact"/>
      </w:pPr>
      <w:r>
        <w:t xml:space="preserve">Technological (e.g., flexibility and familiarity with hardware and</w:t>
      </w:r>
      <w:r>
        <w:t xml:space="preserve"> </w:t>
      </w:r>
      <w:r>
        <w:t xml:space="preserve">software).</w:t>
      </w:r>
    </w:p>
    <w:p>
      <w:pPr>
        <w:numPr>
          <w:ilvl w:val="0"/>
          <w:numId w:val="1007"/>
        </w:numPr>
        <w:pStyle w:val="Compact"/>
      </w:pPr>
      <w:r>
        <w:t xml:space="preserve">No actual mention of the</w:t>
      </w:r>
      <w:r>
        <w:t xml:space="preserve"> </w:t>
      </w:r>
      <w:r>
        <w:t xml:space="preserve">‘</w:t>
      </w:r>
      <w:r>
        <w:t xml:space="preserve">content</w:t>
      </w:r>
      <w:r>
        <w:t xml:space="preserve">’</w:t>
      </w:r>
      <w:r>
        <w:t xml:space="preserve"> </w:t>
      </w:r>
      <w:r>
        <w:t xml:space="preserve">-</w:t>
      </w:r>
      <w:r>
        <w:t xml:space="preserve"> </w:t>
      </w:r>
      <w:r>
        <w:rPr>
          <w:bCs/>
          <w:b/>
        </w:rPr>
        <w:t xml:space="preserve">Psychology</w:t>
      </w:r>
      <w:r>
        <w:t xml:space="preserve"> </w:t>
      </w:r>
      <w:r>
        <w:t xml:space="preserve">or</w:t>
      </w:r>
      <w:r>
        <w:t xml:space="preserve"> </w:t>
      </w:r>
      <w:r>
        <w:rPr>
          <w:bCs/>
          <w:b/>
        </w:rPr>
        <w:t xml:space="preserve">Research</w:t>
      </w:r>
    </w:p>
    <w:bookmarkEnd w:id="72"/>
    <w:bookmarkStart w:id="73" w:name="X8ad6b9df6b30e0a2c372573e1917af1ea737456"/>
    <w:p>
      <w:pPr>
        <w:pStyle w:val="Heading2"/>
      </w:pPr>
      <w:r>
        <w:t xml:space="preserve">You aren’t spectators any more, you’re Scientists!</w:t>
      </w:r>
    </w:p>
    <w:p>
      <w:pPr>
        <w:pStyle w:val="FirstParagraph"/>
      </w:pPr>
      <w:r>
        <w:t xml:space="preserve">In small groups of 3 or 4 people, you will:</w:t>
      </w:r>
    </w:p>
    <w:p>
      <w:pPr>
        <w:numPr>
          <w:ilvl w:val="0"/>
          <w:numId w:val="1008"/>
        </w:numPr>
        <w:pStyle w:val="Compact"/>
      </w:pPr>
      <w:r>
        <w:t xml:space="preserve">Identify an area of psychological research</w:t>
      </w:r>
    </w:p>
    <w:p>
      <w:pPr>
        <w:numPr>
          <w:ilvl w:val="0"/>
          <w:numId w:val="1008"/>
        </w:numPr>
        <w:pStyle w:val="Compact"/>
      </w:pPr>
      <w:r>
        <w:t xml:space="preserve">Review and critique the literature in this area (Critical Proposal)</w:t>
      </w:r>
    </w:p>
    <w:p>
      <w:pPr>
        <w:numPr>
          <w:ilvl w:val="0"/>
          <w:numId w:val="1008"/>
        </w:numPr>
        <w:pStyle w:val="Compact"/>
      </w:pPr>
      <w:r>
        <w:t xml:space="preserve">Develop a testable hypothesis</w:t>
      </w:r>
    </w:p>
    <w:p>
      <w:pPr>
        <w:numPr>
          <w:ilvl w:val="0"/>
          <w:numId w:val="1008"/>
        </w:numPr>
        <w:pStyle w:val="Compact"/>
      </w:pPr>
      <w:r>
        <w:t xml:space="preserve">Design a 2x2 ANOVA experiment unique to you (within your group</w:t>
      </w:r>
      <w:r>
        <w:t xml:space="preserve"> </w:t>
      </w:r>
      <w:r>
        <w:t xml:space="preserve">study)</w:t>
      </w:r>
    </w:p>
    <w:p>
      <w:pPr>
        <w:numPr>
          <w:ilvl w:val="0"/>
          <w:numId w:val="1008"/>
        </w:numPr>
        <w:pStyle w:val="Compact"/>
      </w:pPr>
      <w:r>
        <w:t xml:space="preserve">Obtain Ethical Approval for your experiment</w:t>
      </w:r>
    </w:p>
    <w:p>
      <w:pPr>
        <w:numPr>
          <w:ilvl w:val="0"/>
          <w:numId w:val="1008"/>
        </w:numPr>
        <w:pStyle w:val="Compact"/>
      </w:pPr>
      <w:r>
        <w:t xml:space="preserve">Collect REAL data</w:t>
      </w:r>
    </w:p>
    <w:p>
      <w:pPr>
        <w:numPr>
          <w:ilvl w:val="0"/>
          <w:numId w:val="1008"/>
        </w:numPr>
        <w:pStyle w:val="Compact"/>
      </w:pPr>
      <w:r>
        <w:t xml:space="preserve">Analyse these data</w:t>
      </w:r>
    </w:p>
    <w:p>
      <w:pPr>
        <w:numPr>
          <w:ilvl w:val="0"/>
          <w:numId w:val="1008"/>
        </w:numPr>
        <w:pStyle w:val="Compact"/>
      </w:pPr>
      <w:r>
        <w:t xml:space="preserve">Write up the results in APA format with Open Data and Materials</w:t>
      </w:r>
      <w:r>
        <w:t xml:space="preserve"> </w:t>
      </w:r>
      <w:r>
        <w:t xml:space="preserve">(Mini-Diss)</w:t>
      </w:r>
    </w:p>
    <w:p>
      <w:pPr>
        <w:numPr>
          <w:ilvl w:val="0"/>
          <w:numId w:val="1008"/>
        </w:numPr>
        <w:pStyle w:val="Compact"/>
      </w:pPr>
      <w:r>
        <w:t xml:space="preserve">Reflect on your learning and development journey (CHIP Learning Log)</w:t>
      </w:r>
    </w:p>
    <w:bookmarkEnd w:id="73"/>
    <w:bookmarkStart w:id="74" w:name="X989803ead39308cc125fe5e2a91dfa105dd1442"/>
    <w:p>
      <w:pPr>
        <w:pStyle w:val="Heading2"/>
      </w:pPr>
      <w:r>
        <w:t xml:space="preserve">Consider it a</w:t>
      </w:r>
      <w:r>
        <w:t xml:space="preserve"> </w:t>
      </w:r>
      <w:r>
        <w:t xml:space="preserve">‘</w:t>
      </w:r>
      <w:r>
        <w:t xml:space="preserve">warm up</w:t>
      </w:r>
      <w:r>
        <w:t xml:space="preserve">’</w:t>
      </w:r>
      <w:r>
        <w:t xml:space="preserve"> </w:t>
      </w:r>
      <w:r>
        <w:t xml:space="preserve">for your Y3 Dissertation</w:t>
      </w:r>
    </w:p>
    <w:p>
      <w:pPr>
        <w:numPr>
          <w:ilvl w:val="0"/>
          <w:numId w:val="1009"/>
        </w:numPr>
        <w:pStyle w:val="Compact"/>
      </w:pPr>
      <w:r>
        <w:t xml:space="preserve">The same 20-week timeline</w:t>
      </w:r>
    </w:p>
    <w:p>
      <w:pPr>
        <w:numPr>
          <w:ilvl w:val="0"/>
          <w:numId w:val="1009"/>
        </w:numPr>
        <w:pStyle w:val="Compact"/>
      </w:pPr>
      <w:r>
        <w:t xml:space="preserve">The same skills and techniques you will need</w:t>
      </w:r>
    </w:p>
    <w:p>
      <w:pPr>
        <w:numPr>
          <w:ilvl w:val="0"/>
          <w:numId w:val="1009"/>
        </w:numPr>
        <w:pStyle w:val="Compact"/>
      </w:pPr>
      <w:r>
        <w:t xml:space="preserve">Careful step-by-step guidance and support in the lab setting</w:t>
      </w:r>
    </w:p>
    <w:p>
      <w:pPr>
        <w:numPr>
          <w:ilvl w:val="0"/>
          <w:numId w:val="1009"/>
        </w:numPr>
        <w:pStyle w:val="Compact"/>
      </w:pPr>
      <w:r>
        <w:t xml:space="preserve">Scaled-down experiments and write-ups - but all the same moving</w:t>
      </w:r>
      <w:r>
        <w:t xml:space="preserve"> </w:t>
      </w:r>
      <w:r>
        <w:t xml:space="preserve">parts</w:t>
      </w:r>
    </w:p>
    <w:p>
      <w:pPr>
        <w:numPr>
          <w:ilvl w:val="0"/>
          <w:numId w:val="1009"/>
        </w:numPr>
        <w:pStyle w:val="Compact"/>
      </w:pPr>
      <w:r>
        <w:t xml:space="preserve">The security of working in a group</w:t>
      </w:r>
    </w:p>
    <w:p>
      <w:pPr>
        <w:numPr>
          <w:ilvl w:val="0"/>
          <w:numId w:val="1009"/>
        </w:numPr>
        <w:pStyle w:val="Compact"/>
      </w:pPr>
      <w:r>
        <w:t xml:space="preserve">Tips and advice from world-class researchers</w:t>
      </w:r>
    </w:p>
    <w:p>
      <w:pPr>
        <w:numPr>
          <w:ilvl w:val="0"/>
          <w:numId w:val="1009"/>
        </w:numPr>
        <w:pStyle w:val="Compact"/>
      </w:pPr>
      <w:r>
        <w:t xml:space="preserve">Opportunities to think carefully about your final year Dissertation,</w:t>
      </w:r>
      <w:r>
        <w:t xml:space="preserve"> </w:t>
      </w:r>
      <w:r>
        <w:t xml:space="preserve">and how to crush it!!</w:t>
      </w:r>
    </w:p>
    <w:bookmarkEnd w:id="74"/>
    <w:bookmarkStart w:id="75" w:name="support-and-guidance"/>
    <w:p>
      <w:pPr>
        <w:pStyle w:val="Heading2"/>
      </w:pPr>
      <w:r>
        <w:t xml:space="preserve">Support and guidance</w:t>
      </w:r>
    </w:p>
    <w:p>
      <w:pPr>
        <w:numPr>
          <w:ilvl w:val="0"/>
          <w:numId w:val="1010"/>
        </w:numPr>
        <w:pStyle w:val="Compact"/>
      </w:pPr>
      <w:r>
        <w:t xml:space="preserve">Gordon (Module Coordinator and</w:t>
      </w:r>
      <w:r>
        <w:t xml:space="preserve"> </w:t>
      </w:r>
      <w:r>
        <w:t xml:space="preserve">Enthusiast in Chief</w:t>
      </w:r>
      <w:r>
        <w:t xml:space="preserve">)</w:t>
      </w:r>
    </w:p>
    <w:p>
      <w:pPr>
        <w:numPr>
          <w:ilvl w:val="0"/>
          <w:numId w:val="1010"/>
        </w:numPr>
        <w:pStyle w:val="Compact"/>
      </w:pPr>
      <w:r>
        <w:t xml:space="preserve">7 gobsmackingly amazing Lab Tutors</w:t>
      </w:r>
    </w:p>
    <w:p>
      <w:pPr>
        <w:numPr>
          <w:ilvl w:val="0"/>
          <w:numId w:val="1010"/>
        </w:numPr>
        <w:pStyle w:val="Compact"/>
      </w:pPr>
      <w:r>
        <w:t xml:space="preserve">Your Mini-Dissertation group (3 or 4)</w:t>
      </w:r>
    </w:p>
    <w:p>
      <w:pPr>
        <w:numPr>
          <w:ilvl w:val="0"/>
          <w:numId w:val="1010"/>
        </w:numPr>
        <w:pStyle w:val="Compact"/>
      </w:pPr>
      <w:r>
        <w:t xml:space="preserve">Your Personal Tutor</w:t>
      </w:r>
    </w:p>
    <w:p>
      <w:pPr>
        <w:numPr>
          <w:ilvl w:val="0"/>
          <w:numId w:val="1010"/>
        </w:numPr>
        <w:pStyle w:val="Compact"/>
      </w:pPr>
      <w:r>
        <w:t xml:space="preserve">Your PT group</w:t>
      </w:r>
    </w:p>
    <w:p>
      <w:pPr>
        <w:numPr>
          <w:ilvl w:val="0"/>
          <w:numId w:val="1010"/>
        </w:numPr>
        <w:pStyle w:val="Compact"/>
      </w:pPr>
      <w:r>
        <w:t xml:space="preserve">The entire Goldsmiths Research Community!</w:t>
      </w:r>
    </w:p>
    <w:p>
      <w:pPr>
        <w:pStyle w:val="FirstParagraph"/>
      </w:pPr>
      <w:r>
        <w:t xml:space="preserve">This is a team-sport</w:t>
      </w:r>
    </w:p>
    <w:bookmarkEnd w:id="75"/>
    <w:bookmarkStart w:id="76" w:name="access-to-me"/>
    <w:p>
      <w:pPr>
        <w:pStyle w:val="Heading2"/>
      </w:pPr>
      <w:r>
        <w:t xml:space="preserve">Access to me</w:t>
      </w:r>
    </w:p>
    <w:p>
      <w:pPr>
        <w:pStyle w:val="FirstParagraph"/>
      </w:pPr>
      <w:r>
        <w:t xml:space="preserve">I will be in every Research Methods lecture and I have a Student Hour</w:t>
      </w:r>
      <w:r>
        <w:t xml:space="preserve"> </w:t>
      </w:r>
      <w:r>
        <w:t xml:space="preserve">from 3-4 every Monday, before we all go to the Design &amp; Analysis</w:t>
      </w:r>
      <w:r>
        <w:t xml:space="preserve"> </w:t>
      </w:r>
      <w:r>
        <w:t xml:space="preserve">lecture. Yup! Me too!</w:t>
      </w:r>
    </w:p>
    <w:p>
      <w:pPr>
        <w:pStyle w:val="BodyText"/>
      </w:pPr>
      <w:r>
        <w:rPr>
          <w:bCs/>
          <w:b/>
        </w:rPr>
        <w:t xml:space="preserve">Available at g.wright@gold.ac.uk and my office is WB200/1</w:t>
      </w:r>
    </w:p>
    <w:p>
      <w:pPr>
        <w:pStyle w:val="BodyText"/>
      </w:pPr>
      <w:r>
        <w:t xml:space="preserve">I genuinely could not imagine anything I would rather do that this. So</w:t>
      </w:r>
      <w:r>
        <w:t xml:space="preserve"> </w:t>
      </w:r>
      <w:r>
        <w:t xml:space="preserve">please talk to me!</w:t>
      </w:r>
    </w:p>
    <w:bookmarkEnd w:id="76"/>
    <w:bookmarkStart w:id="80" w:name="a-friendly-warning"/>
    <w:p>
      <w:pPr>
        <w:pStyle w:val="Heading2"/>
      </w:pPr>
      <w:r>
        <w:t xml:space="preserve">A friendly warning</w:t>
      </w:r>
    </w:p>
    <w:tbl>
      <w:tblPr>
        <w:tblStyle w:val="Table"/>
        <w:tblLook w:firstRow="0" w:lastRow="0" w:firstColumn="0" w:lastColumn="0" w:noHBand="0" w:noVBand="0" w:val="0000"/>
        <w:tblBorders>
          <w:left w:val="single" w:sz="24" w:space="0" w:color="EB9113"/>
        </w:tblBorders>
        <w:tblCellMar>
          <w:left w:w="0" w:type="dxa"/>
          <w:right w:w="0" w:type="dxa"/>
        </w:tblCellMar>
        <w:tblInd w:w="164" w:type="dxa"/>
      </w:tblPr>
      <w:tr>
        <w:trPr>
          <w:cantSplit/>
        </w:trPr>
        <w:tc>
          <w:tcPr>
            <w:tcMar>
              <w:left w:w="144" w:type="dxa"/>
              <w:right w:w="144" w:type="dxa"/>
            </w:tcMar>
          </w:tcPr>
          <w:p>
            <w:pPr>
              <w:pStyle w:val="FirstParagraph"/>
            </w:pPr>
            <w:pPr>
              <w:spacing w:before="0" w:after="8"/>
              <w:jc w:val="center"/>
            </w:pPr>
            <w:r>
              <w:drawing>
                <wp:inline>
                  <wp:extent cx="152400" cy="152400"/>
                  <wp:effectExtent b="0" l="0" r="0" t="0"/>
                  <wp:docPr descr="" title="" id="78" name="Picture"/>
                  <a:graphic>
                    <a:graphicData uri="http://schemas.openxmlformats.org/drawingml/2006/picture">
                      <pic:pic>
                        <pic:nvPicPr>
                          <pic:cNvPr descr="/Applications/quarto/share/formats/docx/warning.png" id="79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p>
            <w:pPr>
              <w:pStyle w:val="BodyText"/>
            </w:pPr>
            <w:pPr>
              <w:spacing w:before="16" w:after="64"/>
            </w:pPr>
            <w:r>
              <w:rPr>
                <w:bCs/>
                <w:b/>
              </w:rPr>
              <w:t xml:space="preserve">Warning</w:t>
            </w:r>
          </w:p>
          <w:p>
            <w:pPr>
              <w:pStyle w:val="BodyText"/>
            </w:pPr>
            <w:pPr>
              <w:spacing w:before="16"/>
            </w:pPr>
            <w:r>
              <w:t xml:space="preserve">All coursework is</w:t>
            </w:r>
            <w:r>
              <w:t xml:space="preserve"> </w:t>
            </w:r>
            <w:r>
              <w:t xml:space="preserve">INDIVIDUAL</w:t>
            </w:r>
            <w:r>
              <w:t xml:space="preserve"> </w:t>
            </w:r>
            <w:r>
              <w:t xml:space="preserve">and subject to normal plagiarism</w:t>
            </w:r>
            <w:r>
              <w:t xml:space="preserve"> </w:t>
            </w:r>
            <w:r>
              <w:t xml:space="preserve">and collusion rules.</w:t>
            </w:r>
          </w:p>
          <w:p>
            <w:pPr>
              <w:pStyle w:val="BodyText"/>
            </w:pPr>
            <w:pPr>
              <w:spacing w:after="16"/>
            </w:pPr>
            <w:r>
              <w:t xml:space="preserve">Just don’t risk it. Be mindful of how you read, take notes and share</w:t>
            </w:r>
            <w:r>
              <w:t xml:space="preserve"> </w:t>
            </w:r>
            <w:r>
              <w:t xml:space="preserve">coursework.</w:t>
            </w:r>
          </w:p>
        </w:tc>
      </w:tr>
    </w:tbl>
    <w:bookmarkEnd w:id="80"/>
    <w:bookmarkStart w:id="81" w:name="module-structure"/>
    <w:p>
      <w:pPr>
        <w:pStyle w:val="Heading2"/>
      </w:pPr>
      <w:r>
        <w:t xml:space="preserve">Module structure</w:t>
      </w:r>
    </w:p>
    <w:p>
      <w:pPr>
        <w:pStyle w:val="FirstParagraph"/>
      </w:pPr>
      <w:r>
        <w:t xml:space="preserve">1 x 1 hr Lecture per week (Monday 11-12 PSH LG02)</w:t>
      </w:r>
    </w:p>
    <w:p>
      <w:pPr>
        <w:pStyle w:val="BodyText"/>
      </w:pPr>
      <w:r>
        <w:t xml:space="preserve">1 x 2 hr Lab per week (Tuesday in Whitehead)</w:t>
      </w:r>
    </w:p>
    <w:p>
      <w:pPr>
        <w:pStyle w:val="BodyText"/>
      </w:pPr>
      <w:r>
        <w:t xml:space="preserve">4 x Personal Tutor meetings focussed on the Mini-Diss across the year</w:t>
      </w:r>
    </w:p>
    <w:bookmarkEnd w:id="81"/>
    <w:bookmarkStart w:id="82" w:name="weekly-structure-lectures"/>
    <w:p>
      <w:pPr>
        <w:pStyle w:val="Heading2"/>
      </w:pPr>
      <w:r>
        <w:t xml:space="preserve">Weekly Structure (Lectures)</w:t>
      </w:r>
    </w:p>
    <w:p>
      <w:pPr>
        <w:pStyle w:val="FirstParagraph"/>
      </w:pPr>
      <w:r>
        <w:t xml:space="preserve">A brief weekly</w:t>
      </w:r>
      <w:r>
        <w:t xml:space="preserve"> </w:t>
      </w:r>
      <w:r>
        <w:t xml:space="preserve">‘</w:t>
      </w:r>
      <w:r>
        <w:rPr>
          <w:bCs/>
          <w:b/>
        </w:rPr>
        <w:t xml:space="preserve">Prelude</w:t>
      </w:r>
      <w:r>
        <w:t xml:space="preserve">’</w:t>
      </w:r>
      <w:r>
        <w:t xml:space="preserve"> </w:t>
      </w:r>
      <w:r>
        <w:t xml:space="preserve">designed to introduce one of the main</w:t>
      </w:r>
      <w:r>
        <w:t xml:space="preserve"> </w:t>
      </w:r>
      <w:r>
        <w:t xml:space="preserve">topics of the week (Not compulsory)</w:t>
      </w:r>
    </w:p>
    <w:p>
      <w:pPr>
        <w:pStyle w:val="BodyText"/>
      </w:pPr>
      <w:r>
        <w:rPr>
          <w:bCs/>
          <w:b/>
        </w:rPr>
        <w:t xml:space="preserve">Lecture</w:t>
      </w:r>
      <w:r>
        <w:t xml:space="preserve"> </w:t>
      </w:r>
      <w:r>
        <w:t xml:space="preserve">covering Methods relevant to your research, concepts and</w:t>
      </w:r>
      <w:r>
        <w:t xml:space="preserve"> </w:t>
      </w:r>
      <w:r>
        <w:t xml:space="preserve">debates around CHIP, and previewing the lab session that week</w:t>
      </w:r>
    </w:p>
    <w:p>
      <w:pPr>
        <w:numPr>
          <w:ilvl w:val="0"/>
          <w:numId w:val="1011"/>
        </w:numPr>
      </w:pPr>
      <w:r>
        <w:t xml:space="preserve">(recording posted automatically to Panopto)</w:t>
      </w:r>
    </w:p>
    <w:p>
      <w:pPr>
        <w:numPr>
          <w:ilvl w:val="0"/>
          <w:numId w:val="1011"/>
        </w:numPr>
      </w:pPr>
      <w:r>
        <w:t xml:space="preserve">*Materials for following week posted on Wednesday evening</w:t>
      </w:r>
    </w:p>
    <w:p>
      <w:pPr>
        <w:numPr>
          <w:ilvl w:val="0"/>
          <w:numId w:val="1011"/>
        </w:numPr>
      </w:pPr>
      <w:r>
        <w:t xml:space="preserve">CHIP-relevant topics to be approved as a group (more on that later)</w:t>
      </w:r>
    </w:p>
    <w:p>
      <w:pPr>
        <w:pStyle w:val="FirstParagraph"/>
      </w:pPr>
      <w:r>
        <w:t xml:space="preserve">*Accessibility is important to me, so please contact me with any</w:t>
      </w:r>
      <w:r>
        <w:t xml:space="preserve"> </w:t>
      </w:r>
      <w:r>
        <w:t xml:space="preserve">concerns or requests</w:t>
      </w:r>
    </w:p>
    <w:bookmarkEnd w:id="82"/>
    <w:bookmarkStart w:id="83" w:name="weekly-structure-labs"/>
    <w:p>
      <w:pPr>
        <w:pStyle w:val="Heading2"/>
      </w:pPr>
      <w:r>
        <w:rPr>
          <w:bCs/>
          <w:b/>
        </w:rPr>
        <w:t xml:space="preserve">Weekly Structure (Labs)</w:t>
      </w:r>
    </w:p>
    <w:p>
      <w:pPr>
        <w:numPr>
          <w:ilvl w:val="0"/>
          <w:numId w:val="1012"/>
        </w:numPr>
        <w:pStyle w:val="Compact"/>
      </w:pPr>
      <w:r>
        <w:rPr>
          <w:bCs/>
          <w:b/>
        </w:rPr>
        <w:t xml:space="preserve">‘</w:t>
      </w:r>
      <w:r>
        <w:rPr>
          <w:bCs/>
          <w:b/>
        </w:rPr>
        <w:t xml:space="preserve">Pulse</w:t>
      </w:r>
      <w:r>
        <w:rPr>
          <w:bCs/>
          <w:b/>
        </w:rPr>
        <w:t xml:space="preserve">’</w:t>
      </w:r>
      <w:r>
        <w:t xml:space="preserve"> </w:t>
      </w:r>
      <w:r>
        <w:t xml:space="preserve">taken on entry - 2 minute quiz - COMPULSORY</w:t>
      </w:r>
    </w:p>
    <w:p>
      <w:pPr>
        <w:numPr>
          <w:ilvl w:val="0"/>
          <w:numId w:val="1012"/>
        </w:numPr>
        <w:pStyle w:val="Compact"/>
      </w:pPr>
      <w:r>
        <w:rPr>
          <w:bCs/>
          <w:b/>
        </w:rPr>
        <w:t xml:space="preserve">OneNote Lab Notebook</w:t>
      </w:r>
      <w:r>
        <w:t xml:space="preserve"> </w:t>
      </w:r>
      <w:r>
        <w:t xml:space="preserve">with brief</w:t>
      </w:r>
      <w:r>
        <w:t xml:space="preserve"> </w:t>
      </w:r>
      <w:r>
        <w:t xml:space="preserve">‘</w:t>
      </w:r>
      <w:r>
        <w:t xml:space="preserve">generative activities</w:t>
      </w:r>
      <w:r>
        <w:t xml:space="preserve">’</w:t>
      </w:r>
      <w:r>
        <w:t xml:space="preserve"> </w:t>
      </w:r>
      <w:r>
        <w:t xml:space="preserve">and</w:t>
      </w:r>
      <w:r>
        <w:t xml:space="preserve"> </w:t>
      </w:r>
      <w:r>
        <w:t xml:space="preserve">opportunities for metacognitive reflection (wk2)</w:t>
      </w:r>
    </w:p>
    <w:p>
      <w:pPr>
        <w:numPr>
          <w:ilvl w:val="1"/>
          <w:numId w:val="1013"/>
        </w:numPr>
        <w:pStyle w:val="Compact"/>
      </w:pPr>
      <w:r>
        <w:rPr>
          <w:u w:val="single"/>
        </w:rPr>
        <w:t xml:space="preserve">Your</w:t>
      </w:r>
      <w:r>
        <w:rPr>
          <w:u w:val="single"/>
        </w:rPr>
        <w:t xml:space="preserve"> </w:t>
      </w:r>
      <w:r>
        <w:rPr>
          <w:u w:val="single"/>
        </w:rPr>
        <w:t xml:space="preserve">‘</w:t>
      </w:r>
      <w:r>
        <w:rPr>
          <w:u w:val="single"/>
        </w:rPr>
        <w:t xml:space="preserve">Source of Truth</w:t>
      </w:r>
      <w:r>
        <w:rPr>
          <w:u w:val="single"/>
        </w:rPr>
        <w:t xml:space="preserve">’</w:t>
      </w:r>
    </w:p>
    <w:p>
      <w:pPr>
        <w:numPr>
          <w:ilvl w:val="0"/>
          <w:numId w:val="1012"/>
        </w:numPr>
        <w:pStyle w:val="Compact"/>
      </w:pPr>
      <w:r>
        <w:t xml:space="preserve">Lots can be achieved in the labs, but independent study and</w:t>
      </w:r>
      <w:r>
        <w:t xml:space="preserve"> </w:t>
      </w:r>
      <w:r>
        <w:t xml:space="preserve">coordinated group work will be required</w:t>
      </w:r>
    </w:p>
    <w:p>
      <w:pPr>
        <w:numPr>
          <w:ilvl w:val="0"/>
          <w:numId w:val="1012"/>
        </w:numPr>
        <w:pStyle w:val="Compact"/>
      </w:pPr>
      <w:r>
        <w:t xml:space="preserve">This module is a</w:t>
      </w:r>
      <w:r>
        <w:t xml:space="preserve"> </w:t>
      </w:r>
      <w:r>
        <w:rPr>
          <w:iCs/>
          <w:i/>
          <w:bCs/>
          <w:b/>
        </w:rPr>
        <w:t xml:space="preserve">process</w:t>
      </w:r>
      <w:r>
        <w:t xml:space="preserve"> </w:t>
      </w:r>
      <w:r>
        <w:t xml:space="preserve">not a goal - approach it like an</w:t>
      </w:r>
      <w:r>
        <w:t xml:space="preserve"> </w:t>
      </w:r>
      <w:r>
        <w:t xml:space="preserve">experiment!</w:t>
      </w:r>
    </w:p>
    <w:p>
      <w:pPr>
        <w:numPr>
          <w:ilvl w:val="0"/>
          <w:numId w:val="1014"/>
        </w:numPr>
        <w:pStyle w:val="Compact"/>
      </w:pPr>
      <w:r>
        <w:t xml:space="preserve">NO EXAM</w:t>
      </w:r>
    </w:p>
    <w:p>
      <w:pPr>
        <w:numPr>
          <w:ilvl w:val="1"/>
          <w:numId w:val="1015"/>
        </w:numPr>
        <w:pStyle w:val="Compact"/>
      </w:pPr>
      <w:r>
        <w:rPr>
          <w:bCs/>
          <w:b/>
        </w:rPr>
        <w:t xml:space="preserve">Extras</w:t>
      </w:r>
      <w:r>
        <w:t xml:space="preserve"> </w:t>
      </w:r>
      <w:r>
        <w:t xml:space="preserve">provided around skills or applications or just</w:t>
      </w:r>
      <w:r>
        <w:t xml:space="preserve"> </w:t>
      </w:r>
      <w:r>
        <w:t xml:space="preserve">interesting stuff (Not compulsory)</w:t>
      </w:r>
    </w:p>
    <w:bookmarkEnd w:id="83"/>
    <w:bookmarkStart w:id="84" w:name="coursework"/>
    <w:p>
      <w:pPr>
        <w:pStyle w:val="Heading2"/>
      </w:pPr>
      <w:r>
        <w:t xml:space="preserve">Coursework</w:t>
      </w:r>
    </w:p>
    <w:p>
      <w:pPr>
        <w:pStyle w:val="FirstParagraph"/>
      </w:pPr>
      <w:r>
        <w:t xml:space="preserve">The courseworks ALL require reflection and metacognitive practice. This</w:t>
      </w:r>
      <w:r>
        <w:t xml:space="preserve"> </w:t>
      </w:r>
      <w:r>
        <w:t xml:space="preserve">will be discussed in a number of lectures, but it contributes to</w:t>
      </w:r>
      <w:r>
        <w:t xml:space="preserve"> </w:t>
      </w:r>
      <w:r>
        <w:t xml:space="preserve">effective learning and your integration of the skills and experience.</w:t>
      </w:r>
    </w:p>
    <w:bookmarkEnd w:id="84"/>
    <w:bookmarkStart w:id="85" w:name="time-management-and-teamwork"/>
    <w:p>
      <w:pPr>
        <w:pStyle w:val="Heading2"/>
      </w:pPr>
      <w:r>
        <w:t xml:space="preserve">Time management and teamwork</w:t>
      </w:r>
    </w:p>
    <w:p>
      <w:pPr>
        <w:pStyle w:val="FirstParagraph"/>
      </w:pPr>
      <w:r>
        <w:t xml:space="preserve">..will both be required.</w:t>
      </w:r>
    </w:p>
    <w:p>
      <w:pPr>
        <w:pStyle w:val="BodyText"/>
      </w:pPr>
      <w:r>
        <w:t xml:space="preserve">I ask you to see both as an</w:t>
      </w:r>
      <w:r>
        <w:t xml:space="preserve"> </w:t>
      </w:r>
      <w:r>
        <w:rPr>
          <w:bCs/>
          <w:b/>
        </w:rPr>
        <w:t xml:space="preserve">opportunity</w:t>
      </w:r>
      <w:r>
        <w:t xml:space="preserve"> </w:t>
      </w:r>
      <w:r>
        <w:t xml:space="preserve">to deliberately practice</w:t>
      </w:r>
      <w:r>
        <w:t xml:space="preserve"> </w:t>
      </w:r>
      <w:r>
        <w:t xml:space="preserve">these important skills.</w:t>
      </w:r>
    </w:p>
    <w:p>
      <w:pPr>
        <w:pStyle w:val="BodyText"/>
      </w:pPr>
      <w:r>
        <w:t xml:space="preserve">You will see we have some ideas to make this more relevant to careers</w:t>
      </w:r>
      <w:r>
        <w:t xml:space="preserve"> </w:t>
      </w:r>
      <w:r>
        <w:t xml:space="preserve">and employability.</w:t>
      </w:r>
    </w:p>
    <w:p>
      <w:pPr>
        <w:pStyle w:val="BodyText"/>
      </w:pPr>
      <w:r>
        <w:t xml:space="preserve">It is easier to</w:t>
      </w:r>
      <w:r>
        <w:t xml:space="preserve"> </w:t>
      </w:r>
      <w:r>
        <w:t xml:space="preserve">‘</w:t>
      </w:r>
      <w:r>
        <w:t xml:space="preserve">keep up than to catch up</w:t>
      </w:r>
      <w:r>
        <w:t xml:space="preserve">’</w:t>
      </w:r>
      <w:r>
        <w:t xml:space="preserve">.</w:t>
      </w:r>
    </w:p>
    <w:bookmarkEnd w:id="85"/>
    <w:bookmarkStart w:id="86" w:name="resources"/>
    <w:p>
      <w:pPr>
        <w:pStyle w:val="Heading2"/>
      </w:pPr>
      <w:r>
        <w:t xml:space="preserve">Resources</w:t>
      </w:r>
    </w:p>
    <w:p>
      <w:pPr>
        <w:pStyle w:val="FirstParagraph"/>
      </w:pPr>
      <w:r>
        <w:t xml:space="preserve">We will be releasing a</w:t>
      </w:r>
      <w:r>
        <w:t xml:space="preserve"> </w:t>
      </w:r>
      <w:r>
        <w:rPr>
          <w:bCs/>
          <w:b/>
        </w:rPr>
        <w:t xml:space="preserve">series</w:t>
      </w:r>
      <w:r>
        <w:t xml:space="preserve"> </w:t>
      </w:r>
      <w:r>
        <w:t xml:space="preserve">of valuable resources to help you</w:t>
      </w:r>
      <w:r>
        <w:t xml:space="preserve"> </w:t>
      </w:r>
      <w:r>
        <w:t xml:space="preserve">through every step of the process</w:t>
      </w:r>
    </w:p>
    <w:p>
      <w:pPr>
        <w:pStyle w:val="BodyText"/>
      </w:pPr>
      <w:r>
        <w:t xml:space="preserve">These will</w:t>
      </w:r>
      <w:r>
        <w:t xml:space="preserve"> </w:t>
      </w:r>
      <w:r>
        <w:rPr>
          <w:bCs/>
          <w:b/>
        </w:rPr>
        <w:t xml:space="preserve">entirely relevant</w:t>
      </w:r>
      <w:r>
        <w:t xml:space="preserve"> </w:t>
      </w:r>
      <w:r>
        <w:t xml:space="preserve">to your final year dissertation also.</w:t>
      </w:r>
    </w:p>
    <w:p>
      <w:pPr>
        <w:pStyle w:val="BodyText"/>
      </w:pPr>
      <w:r>
        <w:rPr>
          <w:bCs/>
          <w:b/>
        </w:rPr>
        <w:t xml:space="preserve">Contribution to and comment</w:t>
      </w:r>
      <w:r>
        <w:t xml:space="preserve"> </w:t>
      </w:r>
      <w:r>
        <w:t xml:space="preserve">on these is welcome and hoped for!</w:t>
      </w:r>
    </w:p>
    <w:p>
      <w:pPr>
        <w:pStyle w:val="BodyText"/>
      </w:pPr>
      <w:r>
        <w:rPr>
          <w:bCs/>
          <w:b/>
        </w:rPr>
        <w:t xml:space="preserve">Open Educational Resources</w:t>
      </w:r>
      <w:r>
        <w:t xml:space="preserve"> </w:t>
      </w:r>
      <w:r>
        <w:t xml:space="preserve">will be used extensively, and most core</w:t>
      </w:r>
      <w:r>
        <w:t xml:space="preserve"> </w:t>
      </w:r>
      <w:r>
        <w:t xml:space="preserve">readings are available online via the library.</w:t>
      </w:r>
    </w:p>
    <w:bookmarkEnd w:id="86"/>
    <w:bookmarkStart w:id="90" w:name="lectures-term-one"/>
    <w:p>
      <w:pPr>
        <w:pStyle w:val="Heading2"/>
      </w:pPr>
      <w:r>
        <w:t xml:space="preserve">Lectures Term One</w:t>
      </w:r>
    </w:p>
    <w:p>
      <w:pPr>
        <w:pStyle w:val="FirstParagraph"/>
      </w:pPr>
      <w:r>
        <w:drawing>
          <wp:inline>
            <wp:extent cx="5943600" cy="4724912"/>
            <wp:effectExtent b="0" l="0" r="0" t="0"/>
            <wp:docPr descr="" title="" id="88" name="Picture"/>
            <a:graphic>
              <a:graphicData uri="http://schemas.openxmlformats.org/drawingml/2006/picture">
                <pic:pic>
                  <pic:nvPicPr>
                    <pic:cNvPr descr="images/paste-882EBB81.png" id="89" name="Picture"/>
                    <pic:cNvPicPr>
                      <a:picLocks noChangeArrowheads="1"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49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90"/>
    <w:bookmarkStart w:id="94" w:name="lectures-term-two"/>
    <w:p>
      <w:pPr>
        <w:pStyle w:val="Heading2"/>
      </w:pPr>
      <w:r>
        <w:t xml:space="preserve">Lectures Term Two</w:t>
      </w:r>
    </w:p>
    <w:p>
      <w:pPr>
        <w:pStyle w:val="FirstParagraph"/>
      </w:pPr>
      <w:r>
        <w:drawing>
          <wp:inline>
            <wp:extent cx="5943600" cy="4038855"/>
            <wp:effectExtent b="0" l="0" r="0" t="0"/>
            <wp:docPr descr="" title="" id="92" name="Picture"/>
            <a:graphic>
              <a:graphicData uri="http://schemas.openxmlformats.org/drawingml/2006/picture">
                <pic:pic>
                  <pic:nvPicPr>
                    <pic:cNvPr descr="images/paste-D7119200.png" id="93" name="Picture"/>
                    <pic:cNvPicPr>
                      <a:picLocks noChangeArrowheads="1"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88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94"/>
    <w:bookmarkStart w:id="98" w:name="labs-term-one"/>
    <w:p>
      <w:pPr>
        <w:pStyle w:val="Heading2"/>
      </w:pPr>
      <w:r>
        <w:t xml:space="preserve">Labs Term One</w:t>
      </w:r>
    </w:p>
    <w:p>
      <w:pPr>
        <w:pStyle w:val="FirstParagraph"/>
      </w:pPr>
      <w:r>
        <w:drawing>
          <wp:inline>
            <wp:extent cx="5943600" cy="4390945"/>
            <wp:effectExtent b="0" l="0" r="0" t="0"/>
            <wp:docPr descr="" title="" id="96" name="Picture"/>
            <a:graphic>
              <a:graphicData uri="http://schemas.openxmlformats.org/drawingml/2006/picture">
                <pic:pic>
                  <pic:nvPicPr>
                    <pic:cNvPr descr="images/paste-A76C1449.png" id="97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094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98"/>
    <w:bookmarkStart w:id="102" w:name="labs-term-two"/>
    <w:p>
      <w:pPr>
        <w:pStyle w:val="Heading2"/>
      </w:pPr>
      <w:r>
        <w:t xml:space="preserve">Labs Term Two</w:t>
      </w:r>
    </w:p>
    <w:p>
      <w:pPr>
        <w:pStyle w:val="FirstParagraph"/>
      </w:pPr>
      <w:r>
        <w:drawing>
          <wp:inline>
            <wp:extent cx="5943600" cy="4027571"/>
            <wp:effectExtent b="0" l="0" r="0" t="0"/>
            <wp:docPr descr="" title="" id="100" name="Picture"/>
            <a:graphic>
              <a:graphicData uri="http://schemas.openxmlformats.org/drawingml/2006/picture">
                <pic:pic>
                  <pic:nvPicPr>
                    <pic:cNvPr descr="images/paste-B6FDBAE1.png" id="101" name="Picture"/>
                    <pic:cNvPicPr>
                      <a:picLocks noChangeArrowheads="1"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2757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102"/>
    <w:bookmarkStart w:id="103" w:name="mini-dissertation-structure"/>
    <w:p>
      <w:pPr>
        <w:pStyle w:val="Heading2"/>
      </w:pPr>
      <w:r>
        <w:t xml:space="preserve">Mini-Dissertation structure</w:t>
      </w:r>
    </w:p>
    <w:p>
      <w:pPr>
        <w:pStyle w:val="FirstParagraph"/>
      </w:pPr>
      <w:r>
        <w:t xml:space="preserve">Your individual Mini-Dissertation project</w:t>
      </w:r>
      <w:r>
        <w:t xml:space="preserve"> </w:t>
      </w:r>
      <w:r>
        <w:rPr>
          <w:bCs/>
          <w:b/>
        </w:rPr>
        <w:t xml:space="preserve">MUST</w:t>
      </w:r>
      <w:r>
        <w:t xml:space="preserve"> </w:t>
      </w:r>
      <w:r>
        <w:t xml:space="preserve">conform to the</w:t>
      </w:r>
      <w:r>
        <w:t xml:space="preserve"> </w:t>
      </w:r>
      <w:r>
        <w:t xml:space="preserve">following definitive rules:</w:t>
      </w:r>
    </w:p>
    <w:p>
      <w:pPr>
        <w:numPr>
          <w:ilvl w:val="0"/>
          <w:numId w:val="1016"/>
        </w:numPr>
        <w:pStyle w:val="Compact"/>
      </w:pPr>
      <w:r>
        <w:rPr>
          <w:bCs/>
          <w:b/>
        </w:rPr>
        <w:t xml:space="preserve">2x2 ANOVA design with 2 categorical IVs (each with 2 levels) and a</w:t>
      </w:r>
      <w:r>
        <w:rPr>
          <w:bCs/>
          <w:b/>
        </w:rPr>
        <w:t xml:space="preserve"> </w:t>
      </w:r>
      <w:r>
        <w:rPr>
          <w:bCs/>
          <w:b/>
        </w:rPr>
        <w:t xml:space="preserve">single continuous DV</w:t>
      </w:r>
    </w:p>
    <w:p>
      <w:pPr>
        <w:numPr>
          <w:ilvl w:val="0"/>
          <w:numId w:val="1016"/>
        </w:numPr>
        <w:pStyle w:val="Compact"/>
      </w:pPr>
      <w:r>
        <w:rPr>
          <w:bCs/>
          <w:b/>
        </w:rPr>
        <w:t xml:space="preserve">You must obtain ethical approval and show individual involvement</w:t>
      </w:r>
      <w:r>
        <w:rPr>
          <w:bCs/>
          <w:b/>
        </w:rPr>
        <w:t xml:space="preserve"> </w:t>
      </w:r>
      <w:r>
        <w:rPr>
          <w:bCs/>
          <w:b/>
        </w:rPr>
        <w:t xml:space="preserve">in the process of application</w:t>
      </w:r>
    </w:p>
    <w:p>
      <w:pPr>
        <w:numPr>
          <w:ilvl w:val="0"/>
          <w:numId w:val="1016"/>
        </w:numPr>
        <w:pStyle w:val="Compact"/>
      </w:pPr>
      <w:r>
        <w:rPr>
          <w:bCs/>
          <w:b/>
        </w:rPr>
        <w:t xml:space="preserve">You must make a sample size estimation / Power calculation</w:t>
      </w:r>
    </w:p>
    <w:p>
      <w:pPr>
        <w:numPr>
          <w:ilvl w:val="0"/>
          <w:numId w:val="1016"/>
        </w:numPr>
        <w:pStyle w:val="Compact"/>
      </w:pPr>
      <w:r>
        <w:rPr>
          <w:bCs/>
          <w:b/>
        </w:rPr>
        <w:t xml:space="preserve">You must contribute to group recruitment and data collection</w:t>
      </w:r>
      <w:r>
        <w:rPr>
          <w:bCs/>
          <w:b/>
        </w:rPr>
        <w:t xml:space="preserve"> </w:t>
      </w:r>
      <w:r>
        <w:rPr>
          <w:bCs/>
          <w:b/>
        </w:rPr>
        <w:t xml:space="preserve">efforts either online or in-person</w:t>
      </w:r>
    </w:p>
    <w:bookmarkEnd w:id="103"/>
    <w:bookmarkStart w:id="104" w:name="mini-dissertation-submission"/>
    <w:p>
      <w:pPr>
        <w:pStyle w:val="Heading2"/>
      </w:pPr>
      <w:r>
        <w:t xml:space="preserve">Mini-Dissertation Submission</w:t>
      </w:r>
    </w:p>
    <w:p>
      <w:pPr>
        <w:pStyle w:val="FirstParagraph"/>
      </w:pPr>
      <w:r>
        <w:rPr>
          <w:bCs/>
          <w:b/>
        </w:rPr>
        <w:t xml:space="preserve">Your Mini-Dissertation final submission must comprise ALL of the</w:t>
      </w:r>
      <w:r>
        <w:rPr>
          <w:bCs/>
          <w:b/>
        </w:rPr>
        <w:t xml:space="preserve"> </w:t>
      </w:r>
      <w:r>
        <w:rPr>
          <w:bCs/>
          <w:b/>
        </w:rPr>
        <w:t xml:space="preserve">following COMPULSORY elements:</w:t>
      </w:r>
    </w:p>
    <w:p>
      <w:pPr>
        <w:numPr>
          <w:ilvl w:val="0"/>
          <w:numId w:val="1017"/>
        </w:numPr>
        <w:pStyle w:val="Compact"/>
      </w:pPr>
      <w:r>
        <w:t xml:space="preserve">a 2,500 word APA7 empirical paper with a complete reference list and</w:t>
      </w:r>
      <w:r>
        <w:t xml:space="preserve"> </w:t>
      </w:r>
      <w:r>
        <w:t xml:space="preserve">appendices</w:t>
      </w:r>
    </w:p>
    <w:p>
      <w:pPr>
        <w:numPr>
          <w:ilvl w:val="0"/>
          <w:numId w:val="1017"/>
        </w:numPr>
        <w:pStyle w:val="Compact"/>
      </w:pPr>
      <w:r>
        <w:t xml:space="preserve">Open Data - a single, cleaned, clearly-labelled data set</w:t>
      </w:r>
    </w:p>
    <w:p>
      <w:pPr>
        <w:numPr>
          <w:ilvl w:val="0"/>
          <w:numId w:val="1017"/>
        </w:numPr>
        <w:pStyle w:val="Compact"/>
      </w:pPr>
      <w:r>
        <w:t xml:space="preserve">Open Materials - a complete, replication-ready materials package</w:t>
      </w:r>
      <w:r>
        <w:t xml:space="preserve"> </w:t>
      </w:r>
      <w:r>
        <w:t xml:space="preserve">detailing materials relevant to your individual write-up</w:t>
      </w:r>
    </w:p>
    <w:p>
      <w:pPr>
        <w:numPr>
          <w:ilvl w:val="0"/>
          <w:numId w:val="1017"/>
        </w:numPr>
        <w:pStyle w:val="Compact"/>
      </w:pPr>
      <w:r>
        <w:t xml:space="preserve">A reflective account covering the Mini-Dissertation</w:t>
      </w:r>
      <w:r>
        <w:t xml:space="preserve"> </w:t>
      </w:r>
      <w:r>
        <w:rPr>
          <w:u w:val="single"/>
        </w:rPr>
        <w:t xml:space="preserve">AND</w:t>
      </w:r>
      <w:r>
        <w:t xml:space="preserve"> </w:t>
      </w:r>
      <w:r>
        <w:t xml:space="preserve">the PS52005C Design &amp; Analysis quizzes and how</w:t>
      </w:r>
      <w:r>
        <w:t xml:space="preserve"> </w:t>
      </w:r>
      <w:r>
        <w:t xml:space="preserve">they contributed to your development this year</w:t>
      </w:r>
    </w:p>
    <w:bookmarkEnd w:id="104"/>
    <w:bookmarkStart w:id="105" w:name="illustrative-md-topics"/>
    <w:p>
      <w:pPr>
        <w:pStyle w:val="Heading2"/>
      </w:pPr>
      <w:r>
        <w:t xml:space="preserve">Illustrative MD topics</w:t>
      </w:r>
    </w:p>
    <w:p>
      <w:pPr>
        <w:numPr>
          <w:ilvl w:val="0"/>
          <w:numId w:val="1018"/>
        </w:numPr>
        <w:pStyle w:val="Compact"/>
      </w:pPr>
      <w:r>
        <w:t xml:space="preserve">The effect of gender stereotype and task difficulty on memory</w:t>
      </w:r>
      <w:r>
        <w:t xml:space="preserve"> </w:t>
      </w:r>
      <w:r>
        <w:t xml:space="preserve">performance</w:t>
      </w:r>
    </w:p>
    <w:p>
      <w:pPr>
        <w:numPr>
          <w:ilvl w:val="0"/>
          <w:numId w:val="1018"/>
        </w:numPr>
        <w:pStyle w:val="Compact"/>
      </w:pPr>
      <w:r>
        <w:t xml:space="preserve">The role of facial symmetry and filter type on ratings of</w:t>
      </w:r>
      <w:r>
        <w:t xml:space="preserve"> </w:t>
      </w:r>
      <w:r>
        <w:t xml:space="preserve">attractiveness of online dating profile pictures</w:t>
      </w:r>
    </w:p>
    <w:p>
      <w:pPr>
        <w:numPr>
          <w:ilvl w:val="0"/>
          <w:numId w:val="1018"/>
        </w:numPr>
        <w:pStyle w:val="Compact"/>
      </w:pPr>
      <w:r>
        <w:t xml:space="preserve">Exposure to negative news media, trait anxiety and the BAME</w:t>
      </w:r>
      <w:r>
        <w:t xml:space="preserve"> </w:t>
      </w:r>
      <w:r>
        <w:t xml:space="preserve">community under COVID-19</w:t>
      </w:r>
    </w:p>
    <w:p>
      <w:pPr>
        <w:numPr>
          <w:ilvl w:val="0"/>
          <w:numId w:val="1018"/>
        </w:numPr>
        <w:pStyle w:val="Compact"/>
      </w:pPr>
      <w:r>
        <w:t xml:space="preserve">The effects of Agentic and Communal Narcissism, attitudes towards</w:t>
      </w:r>
      <w:r>
        <w:t xml:space="preserve"> </w:t>
      </w:r>
      <w:r>
        <w:t xml:space="preserve">COVID-19 and lockdown compliance</w:t>
      </w:r>
    </w:p>
    <w:p>
      <w:pPr>
        <w:numPr>
          <w:ilvl w:val="0"/>
          <w:numId w:val="1018"/>
        </w:numPr>
        <w:pStyle w:val="Compact"/>
      </w:pPr>
      <w:r>
        <w:t xml:space="preserve">The effect of personality and sleep disturbance on academic</w:t>
      </w:r>
      <w:r>
        <w:t xml:space="preserve"> </w:t>
      </w:r>
      <w:r>
        <w:t xml:space="preserve">performance</w:t>
      </w:r>
    </w:p>
    <w:p>
      <w:pPr>
        <w:numPr>
          <w:ilvl w:val="0"/>
          <w:numId w:val="1018"/>
        </w:numPr>
        <w:pStyle w:val="Compact"/>
      </w:pPr>
      <w:r>
        <w:t xml:space="preserve">Need for cognition, pre-sentencing information and perceptions of</w:t>
      </w:r>
      <w:r>
        <w:t xml:space="preserve"> </w:t>
      </w:r>
      <w:r>
        <w:t xml:space="preserve">guilt in a jury decision making task</w:t>
      </w:r>
    </w:p>
    <w:bookmarkEnd w:id="105"/>
    <w:bookmarkStart w:id="106" w:name="but-lets-deep-dive-this-one"/>
    <w:p>
      <w:pPr>
        <w:pStyle w:val="Heading2"/>
      </w:pPr>
      <w:r>
        <w:t xml:space="preserve">But let’s deep dive this one</w:t>
      </w:r>
    </w:p>
    <w:p>
      <w:pPr>
        <w:pStyle w:val="FirstParagraph"/>
      </w:pPr>
      <w:r>
        <w:rPr>
          <w:bCs/>
          <w:b/>
        </w:rPr>
        <w:t xml:space="preserve">The effect of Conscientiousness and Caffeine intake on Academic</w:t>
      </w:r>
      <w:r>
        <w:rPr>
          <w:bCs/>
          <w:b/>
        </w:rPr>
        <w:t xml:space="preserve"> </w:t>
      </w:r>
      <w:r>
        <w:rPr>
          <w:bCs/>
          <w:b/>
        </w:rPr>
        <w:t xml:space="preserve">Self-Handicapping</w:t>
      </w:r>
    </w:p>
    <w:p>
      <w:pPr>
        <w:numPr>
          <w:ilvl w:val="0"/>
          <w:numId w:val="1019"/>
        </w:numPr>
        <w:pStyle w:val="Compact"/>
      </w:pPr>
      <w:r>
        <w:rPr>
          <w:iCs/>
          <w:i/>
        </w:rPr>
        <w:t xml:space="preserve">The effect of Independent Variable 1 and Independent Variable 2 on</w:t>
      </w:r>
      <w:r>
        <w:rPr>
          <w:iCs/>
          <w:i/>
        </w:rPr>
        <w:t xml:space="preserve"> </w:t>
      </w:r>
      <w:r>
        <w:rPr>
          <w:iCs/>
          <w:i/>
        </w:rPr>
        <w:t xml:space="preserve">a continuous Dependent Variable</w:t>
      </w:r>
      <w:r>
        <w:t xml:space="preserve"> </w:t>
      </w:r>
    </w:p>
    <w:p>
      <w:pPr>
        <w:numPr>
          <w:ilvl w:val="0"/>
          <w:numId w:val="1019"/>
        </w:numPr>
        <w:pStyle w:val="Compact"/>
      </w:pPr>
      <w:r>
        <w:t xml:space="preserve">Conscientiousness (Low or high - Independent Variable IV1)</w:t>
      </w:r>
    </w:p>
    <w:p>
      <w:pPr>
        <w:numPr>
          <w:ilvl w:val="0"/>
          <w:numId w:val="1019"/>
        </w:numPr>
        <w:pStyle w:val="Compact"/>
      </w:pPr>
      <w:r>
        <w:t xml:space="preserve">Caffeine intake (Low or high - Independent Variable IV2)</w:t>
      </w:r>
    </w:p>
    <w:p>
      <w:pPr>
        <w:numPr>
          <w:ilvl w:val="0"/>
          <w:numId w:val="1019"/>
        </w:numPr>
        <w:pStyle w:val="Compact"/>
      </w:pPr>
      <w:r>
        <w:t xml:space="preserve">Academic Self-Handicapping (6 item 1-5 Likert style,</w:t>
      </w:r>
      <w:r>
        <w:t xml:space="preserve"> </w:t>
      </w:r>
      <w:r>
        <w:t xml:space="preserve">‘</w:t>
      </w:r>
      <w:r>
        <w:t xml:space="preserve">continuous</w:t>
      </w:r>
      <w:r>
        <w:t xml:space="preserve">’</w:t>
      </w:r>
      <w:r>
        <w:t xml:space="preserve"> </w:t>
      </w:r>
      <w:r>
        <w:t xml:space="preserve">Dependent Variable DV)</w:t>
      </w:r>
    </w:p>
    <w:p>
      <w:pPr>
        <w:numPr>
          <w:ilvl w:val="0"/>
          <w:numId w:val="1019"/>
        </w:numPr>
        <w:pStyle w:val="Compact"/>
      </w:pPr>
      <w:r>
        <w:t xml:space="preserve">What about the other 3 people in the group?</w:t>
      </w:r>
    </w:p>
    <w:bookmarkEnd w:id="106"/>
    <w:bookmarkStart w:id="107" w:name="rest-of-the-group"/>
    <w:p>
      <w:pPr>
        <w:pStyle w:val="Heading2"/>
      </w:pPr>
      <w:r>
        <w:t xml:space="preserve">Rest of the group:</w:t>
      </w:r>
    </w:p>
    <w:p>
      <w:pPr>
        <w:pStyle w:val="FirstParagraph"/>
      </w:pPr>
      <w:r>
        <w:rPr>
          <w:bCs/>
          <w:b/>
        </w:rPr>
        <w:t xml:space="preserve">The effect of Conscientiousness and Caffeine intake on Academic</w:t>
      </w:r>
      <w:r>
        <w:rPr>
          <w:bCs/>
          <w:b/>
        </w:rPr>
        <w:t xml:space="preserve"> </w:t>
      </w:r>
      <w:r>
        <w:rPr>
          <w:bCs/>
          <w:b/>
        </w:rPr>
        <w:t xml:space="preserve">Self-Handicapping</w:t>
      </w:r>
      <w:r>
        <w:t xml:space="preserve"> </w:t>
      </w:r>
    </w:p>
    <w:p>
      <w:pPr>
        <w:numPr>
          <w:ilvl w:val="0"/>
          <w:numId w:val="1020"/>
        </w:numPr>
        <w:pStyle w:val="Compact"/>
      </w:pPr>
      <w:r>
        <w:rPr>
          <w:u w:val="single"/>
        </w:rPr>
        <w:t xml:space="preserve">Extraversion</w:t>
      </w:r>
      <w:r>
        <w:t xml:space="preserve"> </w:t>
      </w:r>
      <w:r>
        <w:t xml:space="preserve">(Low/High) &amp; Sleep (Sound/Disturbed) on</w:t>
      </w:r>
      <w:r>
        <w:t xml:space="preserve"> </w:t>
      </w:r>
      <w:r>
        <w:rPr>
          <w:u w:val="single"/>
        </w:rPr>
        <w:t xml:space="preserve">ASH</w:t>
      </w:r>
      <w:r>
        <w:t xml:space="preserve"> </w:t>
      </w:r>
    </w:p>
    <w:p>
      <w:pPr>
        <w:numPr>
          <w:ilvl w:val="0"/>
          <w:numId w:val="1020"/>
        </w:numPr>
        <w:pStyle w:val="Compact"/>
      </w:pPr>
      <w:r>
        <w:rPr>
          <w:u w:val="single"/>
        </w:rPr>
        <w:t xml:space="preserve">Openness to experience</w:t>
      </w:r>
      <w:r>
        <w:t xml:space="preserve"> </w:t>
      </w:r>
      <w:r>
        <w:t xml:space="preserve">(Low/High) &amp; Family Attitude to</w:t>
      </w:r>
      <w:r>
        <w:t xml:space="preserve"> </w:t>
      </w:r>
      <w:r>
        <w:t xml:space="preserve">Education (Pro/Con) on</w:t>
      </w:r>
      <w:r>
        <w:t xml:space="preserve"> </w:t>
      </w:r>
      <w:r>
        <w:rPr>
          <w:u w:val="single"/>
        </w:rPr>
        <w:t xml:space="preserve">ASH</w:t>
      </w:r>
      <w:r>
        <w:t xml:space="preserve"> </w:t>
      </w:r>
    </w:p>
    <w:p>
      <w:pPr>
        <w:numPr>
          <w:ilvl w:val="0"/>
          <w:numId w:val="1020"/>
        </w:numPr>
        <w:pStyle w:val="Compact"/>
      </w:pPr>
      <w:r>
        <w:rPr>
          <w:u w:val="single"/>
        </w:rPr>
        <w:t xml:space="preserve">Neuroticism</w:t>
      </w:r>
      <w:r>
        <w:t xml:space="preserve"> </w:t>
      </w:r>
      <w:r>
        <w:t xml:space="preserve">(Low/High) &amp; Attitude to Feedback</w:t>
      </w:r>
      <w:r>
        <w:t xml:space="preserve"> </w:t>
      </w:r>
      <w:r>
        <w:t xml:space="preserve">(Open/Sensitive) on</w:t>
      </w:r>
      <w:r>
        <w:t xml:space="preserve"> </w:t>
      </w:r>
      <w:r>
        <w:rPr>
          <w:u w:val="single"/>
        </w:rPr>
        <w:t xml:space="preserve">ASH</w:t>
      </w:r>
    </w:p>
    <w:p>
      <w:pPr>
        <w:numPr>
          <w:ilvl w:val="1"/>
          <w:numId w:val="1021"/>
        </w:numPr>
        <w:pStyle w:val="Compact"/>
      </w:pPr>
      <w:r>
        <w:t xml:space="preserve">Not too complicated, right?</w:t>
      </w:r>
    </w:p>
    <w:p>
      <w:pPr>
        <w:numPr>
          <w:ilvl w:val="1"/>
          <w:numId w:val="1021"/>
        </w:numPr>
        <w:pStyle w:val="Compact"/>
      </w:pPr>
      <w:r>
        <w:t xml:space="preserve">Can you see the economies of effort and implicit support opps?</w:t>
      </w:r>
    </w:p>
    <w:bookmarkEnd w:id="107"/>
    <w:bookmarkStart w:id="108" w:name="lab-01"/>
    <w:p>
      <w:pPr>
        <w:pStyle w:val="Heading2"/>
      </w:pPr>
      <w:r>
        <w:t xml:space="preserve">Lab 01</w:t>
      </w:r>
    </w:p>
    <w:p>
      <w:pPr>
        <w:numPr>
          <w:ilvl w:val="0"/>
          <w:numId w:val="1022"/>
        </w:numPr>
        <w:pStyle w:val="Compact"/>
      </w:pPr>
      <w:r>
        <w:t xml:space="preserve">Scan your attendance (?) and sit down to complete the short</w:t>
      </w:r>
      <w:r>
        <w:t xml:space="preserve"> </w:t>
      </w:r>
      <w:r>
        <w:t xml:space="preserve">‘</w:t>
      </w:r>
      <w:r>
        <w:t xml:space="preserve">Entry</w:t>
      </w:r>
      <w:r>
        <w:t xml:space="preserve"> </w:t>
      </w:r>
      <w:r>
        <w:t xml:space="preserve">Pulse</w:t>
      </w:r>
      <w:r>
        <w:t xml:space="preserve">’</w:t>
      </w:r>
      <w:r>
        <w:t xml:space="preserve"> </w:t>
      </w:r>
      <w:r>
        <w:t xml:space="preserve">poll (Compulsory each week).</w:t>
      </w:r>
    </w:p>
    <w:p>
      <w:pPr>
        <w:numPr>
          <w:ilvl w:val="0"/>
          <w:numId w:val="1022"/>
        </w:numPr>
        <w:pStyle w:val="Compact"/>
      </w:pPr>
      <w:r>
        <w:t xml:space="preserve">Verify access to IT systems (e.g. the critically important OneDrive)</w:t>
      </w:r>
      <w:r>
        <w:t xml:space="preserve"> </w:t>
      </w:r>
      <w:r>
        <w:t xml:space="preserve">and add a signature to your emails to assist College answering any</w:t>
      </w:r>
      <w:r>
        <w:t xml:space="preserve"> </w:t>
      </w:r>
      <w:r>
        <w:t xml:space="preserve">questions you have.</w:t>
      </w:r>
    </w:p>
    <w:p>
      <w:pPr>
        <w:numPr>
          <w:ilvl w:val="0"/>
          <w:numId w:val="1022"/>
        </w:numPr>
        <w:pStyle w:val="Compact"/>
      </w:pPr>
      <w:r>
        <w:t xml:space="preserve">Start brainstorming ideas for research topics for your</w:t>
      </w:r>
      <w:r>
        <w:t xml:space="preserve"> </w:t>
      </w:r>
      <w:r>
        <w:t xml:space="preserve">Mini-Dissertation.</w:t>
      </w:r>
    </w:p>
    <w:p>
      <w:pPr>
        <w:numPr>
          <w:ilvl w:val="0"/>
          <w:numId w:val="1022"/>
        </w:numPr>
        <w:pStyle w:val="Compact"/>
      </w:pPr>
      <w:r>
        <w:t xml:space="preserve">Consider</w:t>
      </w:r>
      <w:r>
        <w:t xml:space="preserve"> </w:t>
      </w:r>
      <w:r>
        <w:t xml:space="preserve">‘</w:t>
      </w:r>
      <w:r>
        <w:t xml:space="preserve">how</w:t>
      </w:r>
      <w:r>
        <w:t xml:space="preserve">’</w:t>
      </w:r>
      <w:r>
        <w:t xml:space="preserve"> </w:t>
      </w:r>
      <w:r>
        <w:t xml:space="preserve">you want to work this year - Help co-create a</w:t>
      </w:r>
      <w:r>
        <w:t xml:space="preserve"> </w:t>
      </w:r>
      <w:r>
        <w:t xml:space="preserve">‘</w:t>
      </w:r>
      <w:r>
        <w:t xml:space="preserve">Lab</w:t>
      </w:r>
      <w:r>
        <w:t xml:space="preserve"> </w:t>
      </w:r>
      <w:r>
        <w:t xml:space="preserve">Ethos</w:t>
      </w:r>
      <w:r>
        <w:t xml:space="preserve">’</w:t>
      </w:r>
      <w:r>
        <w:t xml:space="preserve"> </w:t>
      </w:r>
      <w:r>
        <w:t xml:space="preserve">that we can share openly.</w:t>
      </w:r>
    </w:p>
    <w:p>
      <w:pPr>
        <w:numPr>
          <w:ilvl w:val="0"/>
          <w:numId w:val="1022"/>
        </w:numPr>
        <w:pStyle w:val="Compact"/>
      </w:pPr>
      <w:r>
        <w:t xml:space="preserve">Detailed information in the Lab 01</w:t>
      </w:r>
      <w:r>
        <w:t xml:space="preserve"> </w:t>
      </w:r>
      <w:r>
        <w:t xml:space="preserve">‘</w:t>
      </w:r>
      <w:r>
        <w:t xml:space="preserve">Book</w:t>
      </w:r>
      <w:r>
        <w:t xml:space="preserve">’</w:t>
      </w:r>
      <w:r>
        <w:t xml:space="preserve"> </w:t>
      </w:r>
      <w:r>
        <w:t xml:space="preserve">on the VLE</w:t>
      </w:r>
    </w:p>
    <w:bookmarkEnd w:id="108"/>
    <w:bookmarkStart w:id="112" w:name="X5109091e053a29cece1bac2a57d24728096a73b"/>
    <w:p>
      <w:pPr>
        <w:pStyle w:val="Heading2"/>
      </w:pPr>
      <w:r>
        <w:t xml:space="preserve">Please don’t get hung up on topic selection</w:t>
      </w:r>
    </w:p>
    <w:tbl>
      <w:tblPr>
        <w:tblStyle w:val="Table"/>
        <w:tblLook w:firstRow="0" w:lastRow="0" w:firstColumn="0" w:lastColumn="0" w:noHBand="0" w:noVBand="0" w:val="0000"/>
        <w:tblBorders>
          <w:left w:val="single" w:sz="24" w:space="0" w:color="00A047"/>
        </w:tblBorders>
        <w:tblCellMar>
          <w:left w:w="0" w:type="dxa"/>
          <w:right w:w="0" w:type="dxa"/>
        </w:tblCellMar>
        <w:tblInd w:w="164" w:type="dxa"/>
      </w:tblPr>
      <w:tr>
        <w:trPr>
          <w:cantSplit/>
        </w:trPr>
        <w:tc>
          <w:tcPr>
            <w:tcMar>
              <w:left w:w="144" w:type="dxa"/>
              <w:right w:w="144" w:type="dxa"/>
            </w:tcMar>
          </w:tcPr>
          <w:p>
            <w:pPr>
              <w:pStyle w:val="FirstParagraph"/>
            </w:pPr>
            <w:pPr>
              <w:spacing w:before="0" w:after="8"/>
              <w:jc w:val="center"/>
            </w:pPr>
            <w:r>
              <w:drawing>
                <wp:inline>
                  <wp:extent cx="152400" cy="152400"/>
                  <wp:effectExtent b="0" l="0" r="0" t="0"/>
                  <wp:docPr descr="" title="" id="110" name="Picture"/>
                  <a:graphic>
                    <a:graphicData uri="http://schemas.openxmlformats.org/drawingml/2006/picture">
                      <pic:pic>
                        <pic:nvPicPr>
                          <pic:cNvPr descr="/Applications/quarto/share/formats/docx/tip.png" id="111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p>
            <w:pPr>
              <w:pStyle w:val="BodyText"/>
            </w:pPr>
            <w:pPr>
              <w:spacing w:before="16" w:after="64"/>
            </w:pPr>
            <w:r>
              <w:rPr>
                <w:bCs/>
                <w:b/>
              </w:rPr>
              <w:t xml:space="preserve">Tip</w:t>
            </w:r>
          </w:p>
          <w:p>
            <w:pPr>
              <w:pStyle w:val="BodyText"/>
            </w:pPr>
            <w:pPr>
              <w:spacing w:before="16"/>
            </w:pPr>
            <w:r>
              <w:t xml:space="preserve">You might think coming up with a research topic is a difficult thing.</w:t>
            </w:r>
            <w:r>
              <w:t xml:space="preserve"> </w:t>
            </w:r>
            <w:r>
              <w:t xml:space="preserve">For this year, it is NOT super-important. Your Lab Tutors will be</w:t>
            </w:r>
            <w:r>
              <w:t xml:space="preserve"> </w:t>
            </w:r>
            <w:r>
              <w:t xml:space="preserve">available to help you make sure it’s feasible, challenging enough but</w:t>
            </w:r>
            <w:r>
              <w:t xml:space="preserve"> </w:t>
            </w:r>
            <w:r>
              <w:t xml:space="preserve">not too difficult etc.</w:t>
            </w:r>
          </w:p>
          <w:p>
            <w:pPr>
              <w:pStyle w:val="BodyText"/>
            </w:pPr>
            <w:pPr>
              <w:spacing w:after="16"/>
            </w:pPr>
            <w:r>
              <w:t xml:space="preserve">It does help if you are interested in it though, as it will help keep</w:t>
            </w:r>
            <w:r>
              <w:t xml:space="preserve"> </w:t>
            </w:r>
            <w:r>
              <w:t xml:space="preserve">motivation up!</w:t>
            </w:r>
          </w:p>
        </w:tc>
      </w:tr>
    </w:tbl>
    <w:bookmarkEnd w:id="112"/>
    <w:bookmarkStart w:id="116" w:name="some-things-to-consider"/>
    <w:p>
      <w:pPr>
        <w:pStyle w:val="Heading2"/>
      </w:pPr>
      <w:r>
        <w:t xml:space="preserve">Some things to consider</w:t>
      </w:r>
    </w:p>
    <w:tbl>
      <w:tblPr>
        <w:tblStyle w:val="Table"/>
        <w:tblLook w:firstRow="0" w:lastRow="0" w:firstColumn="0" w:lastColumn="0" w:noHBand="0" w:noVBand="0" w:val="0000"/>
        <w:tblBorders>
          <w:left w:val="single" w:sz="24" w:space="0" w:color="FC5300"/>
        </w:tblBorders>
        <w:tblCellMar>
          <w:left w:w="0" w:type="dxa"/>
          <w:right w:w="0" w:type="dxa"/>
        </w:tblCellMar>
        <w:tblInd w:w="164" w:type="dxa"/>
      </w:tblPr>
      <w:tr>
        <w:trPr>
          <w:cantSplit/>
        </w:trPr>
        <w:tc>
          <w:tcPr>
            <w:tcMar>
              <w:left w:w="144" w:type="dxa"/>
              <w:right w:w="144" w:type="dxa"/>
            </w:tcMar>
          </w:tcPr>
          <w:p>
            <w:pPr>
              <w:pStyle w:val="FirstParagraph"/>
            </w:pPr>
            <w:pPr>
              <w:spacing w:before="0" w:after="8"/>
              <w:jc w:val="center"/>
            </w:pPr>
            <w:r>
              <w:drawing>
                <wp:inline>
                  <wp:extent cx="152400" cy="152400"/>
                  <wp:effectExtent b="0" l="0" r="0" t="0"/>
                  <wp:docPr descr="" title="" id="114" name="Picture"/>
                  <a:graphic>
                    <a:graphicData uri="http://schemas.openxmlformats.org/drawingml/2006/picture">
                      <pic:pic>
                        <pic:nvPicPr>
                          <pic:cNvPr descr="/Applications/quarto/share/formats/docx/caution.png" id="115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p>
            <w:pPr>
              <w:pStyle w:val="BodyText"/>
            </w:pPr>
            <w:pPr>
              <w:spacing w:before="16" w:after="64"/>
            </w:pPr>
            <w:r>
              <w:rPr>
                <w:bCs/>
                <w:b/>
              </w:rPr>
              <w:t xml:space="preserve">Caution</w:t>
            </w:r>
          </w:p>
          <w:p>
            <w:pPr>
              <w:numPr>
                <w:ilvl w:val="0"/>
                <w:numId w:val="1023"/>
              </w:numPr>
            </w:pPr>
            <w:r>
              <w:t xml:space="preserve">Picking something without much of a literature behind it can make</w:t>
            </w:r>
            <w:r>
              <w:t xml:space="preserve"> </w:t>
            </w:r>
            <w:r>
              <w:t xml:space="preserve">life VERY difficult</w:t>
            </w:r>
          </w:p>
          <w:p>
            <w:pPr>
              <w:numPr>
                <w:ilvl w:val="0"/>
                <w:numId w:val="1023"/>
              </w:numPr>
            </w:pPr>
            <w:r>
              <w:t xml:space="preserve">We will try to make sure things remain manageable, we are not trying</w:t>
            </w:r>
            <w:r>
              <w:t xml:space="preserve"> </w:t>
            </w:r>
            <w:r>
              <w:t xml:space="preserve">to</w:t>
            </w:r>
            <w:r>
              <w:t xml:space="preserve"> </w:t>
            </w:r>
            <w:r>
              <w:t xml:space="preserve">‘</w:t>
            </w:r>
            <w:r>
              <w:t xml:space="preserve">restrict</w:t>
            </w:r>
            <w:r>
              <w:t xml:space="preserve">’</w:t>
            </w:r>
            <w:r>
              <w:t xml:space="preserve"> </w:t>
            </w:r>
            <w:r>
              <w:t xml:space="preserve">you</w:t>
            </w:r>
          </w:p>
          <w:p>
            <w:pPr>
              <w:numPr>
                <w:ilvl w:val="0"/>
                <w:numId w:val="1023"/>
              </w:numPr>
            </w:pPr>
            <w:r>
              <w:t xml:space="preserve">You will not be able to do research</w:t>
            </w:r>
          </w:p>
          <w:p>
            <w:pPr>
              <w:numPr>
                <w:ilvl w:val="1"/>
                <w:numId w:val="1024"/>
              </w:numPr>
              <w:pStyle w:val="Compact"/>
            </w:pPr>
            <w:r>
              <w:t xml:space="preserve">on Children</w:t>
            </w:r>
          </w:p>
          <w:p>
            <w:pPr>
              <w:numPr>
                <w:ilvl w:val="1"/>
                <w:numId w:val="1024"/>
              </w:numPr>
              <w:pStyle w:val="Compact"/>
            </w:pPr>
            <w:r>
              <w:t xml:space="preserve">on Vulnerable or protected groups</w:t>
            </w:r>
          </w:p>
          <w:p>
            <w:pPr>
              <w:numPr>
                <w:ilvl w:val="1"/>
                <w:numId w:val="1024"/>
              </w:numPr>
              <w:pStyle w:val="Compact"/>
            </w:pPr>
            <w:r>
              <w:t xml:space="preserve">using methods that require extensive training or specialist</w:t>
            </w:r>
            <w:r>
              <w:t xml:space="preserve"> </w:t>
            </w:r>
            <w:r>
              <w:t xml:space="preserve">facilities (e.g. EEG, TMS)</w:t>
            </w:r>
          </w:p>
          <w:p>
            <w:pPr>
              <w:numPr>
                <w:ilvl w:val="1"/>
                <w:numId w:val="1024"/>
              </w:numPr>
              <w:pStyle w:val="Compact"/>
            </w:pPr>
            <w:r>
              <w:t xml:space="preserve">that raises anything more than mild ethical considerations</w:t>
            </w:r>
          </w:p>
          <w:p>
            <w:pPr>
              <w:numPr>
                <w:ilvl w:val="1"/>
                <w:numId w:val="1024"/>
              </w:numPr>
              <w:pStyle w:val="Compact"/>
            </w:pPr>
            <w:r>
              <w:t xml:space="preserve">for which recruitment will be too onerous or time-consuming</w:t>
            </w:r>
          </w:p>
        </w:tc>
      </w:tr>
    </w:tbl>
    <w:bookmarkEnd w:id="116"/>
    <w:bookmarkStart w:id="117" w:name="defining-how-you-wish-to-work"/>
    <w:p>
      <w:pPr>
        <w:pStyle w:val="Heading2"/>
      </w:pPr>
      <w:r>
        <w:t xml:space="preserve">Defining how you wish to work</w:t>
      </w:r>
    </w:p>
    <w:p>
      <w:pPr>
        <w:pStyle w:val="FirstParagraph"/>
      </w:pPr>
      <w:r>
        <w:t xml:space="preserve">We would like you to compose a</w:t>
      </w:r>
      <w:r>
        <w:t xml:space="preserve"> </w:t>
      </w:r>
      <w:r>
        <w:t xml:space="preserve">‘</w:t>
      </w:r>
      <w:r>
        <w:t xml:space="preserve">code of conduct</w:t>
      </w:r>
      <w:r>
        <w:t xml:space="preserve">’</w:t>
      </w:r>
      <w:r>
        <w:t xml:space="preserve"> </w:t>
      </w:r>
      <w:r>
        <w:t xml:space="preserve">or</w:t>
      </w:r>
      <w:r>
        <w:t xml:space="preserve"> </w:t>
      </w:r>
      <w:r>
        <w:t xml:space="preserve">‘</w:t>
      </w:r>
      <w:r>
        <w:t xml:space="preserve">Lab ethos</w:t>
      </w:r>
      <w:r>
        <w:t xml:space="preserve">’</w:t>
      </w:r>
      <w:r>
        <w:t xml:space="preserve"> </w:t>
      </w:r>
      <w:r>
        <w:t xml:space="preserve">applicable to us all this year.</w:t>
      </w:r>
    </w:p>
    <w:p>
      <w:pPr>
        <w:pStyle w:val="BodyText"/>
      </w:pPr>
      <w:r>
        <w:rPr>
          <w:u w:val="single"/>
        </w:rPr>
        <w:t xml:space="preserve">Goldsmiths Student Charter</w:t>
      </w:r>
      <w:r>
        <w:t xml:space="preserve"> </w:t>
      </w:r>
      <w:r>
        <w:t xml:space="preserve">(2012) Does much change in a</w:t>
      </w:r>
      <w:r>
        <w:t xml:space="preserve"> </w:t>
      </w:r>
      <w:r>
        <w:t xml:space="preserve">decade?</w:t>
      </w:r>
    </w:p>
    <w:p>
      <w:pPr>
        <w:pStyle w:val="BodyText"/>
      </w:pPr>
      <w:r>
        <w:rPr>
          <w:u w:val="single"/>
        </w:rPr>
        <w:t xml:space="preserve">BPS Research Ethics</w:t>
      </w:r>
      <w:r>
        <w:t xml:space="preserve"> </w:t>
      </w:r>
      <w:r>
        <w:t xml:space="preserve">(respect, competence, responsibility,</w:t>
      </w:r>
      <w:r>
        <w:t xml:space="preserve"> </w:t>
      </w:r>
      <w:r>
        <w:t xml:space="preserve">integrity)</w:t>
      </w:r>
    </w:p>
    <w:p>
      <w:pPr>
        <w:pStyle w:val="BodyText"/>
      </w:pPr>
      <w:r>
        <w:rPr>
          <w:u w:val="single"/>
        </w:rPr>
        <w:t xml:space="preserve">Corporate Culture</w:t>
      </w:r>
      <w:r>
        <w:t xml:space="preserve"> </w:t>
      </w:r>
      <w:r>
        <w:t xml:space="preserve">(e.g. </w:t>
      </w:r>
      <w:r>
        <w:t xml:space="preserve">“</w:t>
      </w:r>
      <w:r>
        <w:rPr>
          <w:iCs/>
          <w:i/>
          <w:bCs/>
          <w:b/>
        </w:rPr>
        <w:t xml:space="preserve">Move fast and break things</w:t>
      </w:r>
      <w:r>
        <w:t xml:space="preserve">”</w:t>
      </w:r>
      <w:r>
        <w:t xml:space="preserve"> </w:t>
      </w:r>
      <w:r>
        <w:t xml:space="preserve">i.e. approaching the task with an emphasis on speed, disruption and</w:t>
      </w:r>
      <w:r>
        <w:t xml:space="preserve"> </w:t>
      </w:r>
      <w:r>
        <w:t xml:space="preserve">experimentation)</w:t>
      </w:r>
    </w:p>
    <w:p>
      <w:pPr>
        <w:pStyle w:val="BodyText"/>
      </w:pPr>
      <w:r>
        <w:rPr>
          <w:u w:val="single"/>
        </w:rPr>
        <w:t xml:space="preserve">Innovative Teaching</w:t>
      </w:r>
      <w:r>
        <w:t xml:space="preserve"> </w:t>
      </w:r>
      <w:r>
        <w:t xml:space="preserve">(e.g. The Hacker School/Recurse</w:t>
      </w:r>
      <w:r>
        <w:t xml:space="preserve"> </w:t>
      </w:r>
      <w:r>
        <w:t xml:space="preserve">Center - No feigning surprise, No ’Well-Actually’s, No back-seat</w:t>
      </w:r>
      <w:r>
        <w:t xml:space="preserve"> </w:t>
      </w:r>
      <w:r>
        <w:t xml:space="preserve">driving, no subtle -isms)</w:t>
      </w:r>
    </w:p>
    <w:bookmarkEnd w:id="117"/>
    <w:bookmarkStart w:id="118" w:name="how-will-we-approach-the-following"/>
    <w:p>
      <w:pPr>
        <w:pStyle w:val="Heading2"/>
      </w:pPr>
      <w:r>
        <w:t xml:space="preserve">How will we approach the following?</w:t>
      </w:r>
    </w:p>
    <w:p>
      <w:pPr>
        <w:pStyle w:val="FirstParagraph"/>
      </w:pPr>
      <w:r>
        <w:t xml:space="preserve">Inclusivity, Diversity, Equity, Privilege, Power, Intersectionality</w:t>
      </w:r>
    </w:p>
    <w:p>
      <w:pPr>
        <w:pStyle w:val="BodyText"/>
      </w:pPr>
      <w:r>
        <w:t xml:space="preserve">Communication, Accommodation, Environment, Accessibility, Collaboration</w:t>
      </w:r>
    </w:p>
    <w:bookmarkEnd w:id="118"/>
    <w:bookmarkStart w:id="119" w:name="X007e95bd21d31a22ea22fe6a87ac7279af900f7"/>
    <w:p>
      <w:pPr>
        <w:pStyle w:val="Heading2"/>
      </w:pPr>
      <w:r>
        <w:t xml:space="preserve">Data Carpentry suggests the following for their labs</w:t>
      </w:r>
    </w:p>
    <w:p>
      <w:pPr>
        <w:numPr>
          <w:ilvl w:val="0"/>
          <w:numId w:val="1025"/>
        </w:numPr>
        <w:pStyle w:val="Compact"/>
      </w:pPr>
      <w:r>
        <w:t xml:space="preserve">Use welcoming and inclusive language</w:t>
      </w:r>
    </w:p>
    <w:p>
      <w:pPr>
        <w:numPr>
          <w:ilvl w:val="0"/>
          <w:numId w:val="1025"/>
        </w:numPr>
        <w:pStyle w:val="Compact"/>
      </w:pPr>
      <w:r>
        <w:t xml:space="preserve">Be respectful of different viewpoints and experiences</w:t>
      </w:r>
    </w:p>
    <w:p>
      <w:pPr>
        <w:numPr>
          <w:ilvl w:val="0"/>
          <w:numId w:val="1025"/>
        </w:numPr>
        <w:pStyle w:val="Compact"/>
      </w:pPr>
      <w:r>
        <w:t xml:space="preserve">Gracefully accept constructive criticism</w:t>
      </w:r>
    </w:p>
    <w:p>
      <w:pPr>
        <w:numPr>
          <w:ilvl w:val="0"/>
          <w:numId w:val="1025"/>
        </w:numPr>
        <w:pStyle w:val="Compact"/>
      </w:pPr>
      <w:r>
        <w:t xml:space="preserve">Focus on what is best for the community</w:t>
      </w:r>
    </w:p>
    <w:p>
      <w:pPr>
        <w:numPr>
          <w:ilvl w:val="0"/>
          <w:numId w:val="1025"/>
        </w:numPr>
        <w:pStyle w:val="Compact"/>
      </w:pPr>
      <w:r>
        <w:t xml:space="preserve">Show courtesy and respect towards other community members</w:t>
      </w:r>
    </w:p>
    <w:bookmarkEnd w:id="119"/>
    <w:bookmarkStart w:id="123" w:name="recurse-center-social-rules"/>
    <w:p>
      <w:pPr>
        <w:pStyle w:val="Heading2"/>
      </w:pPr>
      <w:r>
        <w:t xml:space="preserve">Recurse Center</w:t>
      </w:r>
      <w:r>
        <w:t xml:space="preserve"> </w:t>
      </w:r>
      <w:r>
        <w:t xml:space="preserve">‘</w:t>
      </w:r>
      <w:r>
        <w:t xml:space="preserve">Social Rules</w:t>
      </w:r>
      <w:r>
        <w:t xml:space="preserve">’</w:t>
      </w:r>
    </w:p>
    <w:tbl>
      <w:tblPr>
        <w:tblStyle w:val="Table"/>
        <w:tblW w:type="pct" w:w="5000"/>
        <w:tblLook w:firstRow="0" w:lastRow="0" w:firstColumn="0" w:lastColumn="0" w:noHBand="0" w:noVBand="0" w:val="0000"/>
        <w:jc w:val="start"/>
      </w:tblPr>
      <w:tblGrid>
        <w:gridCol w:w="7920"/>
      </w:tblGrid>
      <w:tr>
        <w:tc>
          <w:tcPr/>
          <w:p>
            <w:pPr>
              <w:jc w:val="center"/>
            </w:pPr>
            <w:r>
              <w:drawing>
                <wp:inline>
                  <wp:extent cx="5943600" cy="8905656"/>
                  <wp:effectExtent b="0" l="0" r="0" t="0"/>
                  <wp:docPr descr="" title="" id="121" name="Picture"/>
                  <a:graphic>
                    <a:graphicData uri="http://schemas.openxmlformats.org/drawingml/2006/picture">
                      <pic:pic>
                        <pic:nvPicPr>
                          <pic:cNvPr descr="images/paste-753EB69B.png" id="122" name="Picture"/>
                          <pic:cNvPicPr>
                            <a:picLocks noChangeArrowheads="1"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3600" cy="89056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</w:pPr>
            <w:pPr>
              <w:jc w:val="start"/>
              <w:spacing w:before="200"/>
              <w:pStyle w:val="ImageCaption"/>
            </w:pPr>
          </w:p>
        </w:tc>
      </w:tr>
    </w:tbl>
    <w:bookmarkEnd w:id="123"/>
    <w:bookmarkStart w:id="125" w:name="on-behalf-of-the-whole-teaching-team"/>
    <w:p>
      <w:pPr>
        <w:pStyle w:val="Heading2"/>
      </w:pPr>
      <w:r>
        <w:t xml:space="preserve">On behalf of the whole teaching team</w:t>
      </w:r>
    </w:p>
    <w:p>
      <w:pPr>
        <w:pStyle w:val="FirstParagraph"/>
      </w:pPr>
      <w:r>
        <w:t xml:space="preserve">Have a wonderful year!</w:t>
      </w:r>
    </w:p>
    <w:bookmarkStart w:id="124" w:name="any-questions"/>
    <w:p>
      <w:pPr>
        <w:pStyle w:val="Heading3"/>
      </w:pPr>
      <w:r>
        <w:t xml:space="preserve">Any Questions?</w:t>
      </w:r>
    </w:p>
    <w:bookmarkEnd w:id="124"/>
    <w:bookmarkEnd w:id="125"/>
    <w:bookmarkEnd w:id="126"/>
    <w:bookmarkStart w:id="127" w:name="section-1"/>
    <w:p>
      <w:pPr>
        <w:pStyle w:val="Heading1"/>
      </w:pPr>
    </w:p>
    <w:bookmarkEnd w:id="127"/>
    <w:sectPr w:rsidR="0088650E" w:rsidRPr="00E343F9"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tkinson Hyperlegible">
    <w:panose1 w:val="00000000000000000000"/>
    <w:charset w:val="00"/>
    <w:family w:val="auto"/>
    <w:notTrueType/>
    <w:pitch w:val="variable"/>
    <w:sig w:usb0="00000027" w:usb1="00000000" w:usb2="00000000" w:usb3="00000000" w:csb0="00000083" w:csb1="00000000"/>
  </w:font>
  <w:font w:name="Times New Roman (Body CS)">
    <w:altName w:val="Times New Roman"/>
    <w:panose1 w:val="020B0604020202020204"/>
    <w:charset w:val="00"/>
    <w:family w:val="roman"/>
    <w:notTrueType/>
    <w:pitch w:val="default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aink="http://schemas.microsoft.com/office/drawing/2016/ink" xmlns:am3d="http://schemas.microsoft.com/office/drawing/2017/model3d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="http://schemas.openxmlformats.org/officeDocument/2006/math" xmlns:mc="http://schemas.openxmlformats.org/markup-compatibility/2006" xmlns:o="urn:schemas-microsoft-com:office:office" xmlns:oel="http://schemas.microsoft.com/office/2019/extlst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16cid w16 w16cex w16sdtdh wp14">
  <w:abstractNum w15:restartNumberingAfterBreak="0" w:abstractNumId="0">
    <w:nsid w:val="FFFFFF7C"/>
    <w:multiLevelType w:val="singleLevel"/>
    <w:tmpl w:val="DF66E58A"/>
    <w:lvl w:ilvl="0">
      <w:start w:val="1"/>
      <w:numFmt w:val="decimal"/>
      <w:lvlText w:val="%1."/>
      <w:lvlJc w:val="left"/>
      <w:pPr>
        <w:tabs>
          <w:tab w:pos="1492" w:val="num"/>
        </w:tabs>
        <w:ind w:hanging="360" w:left="1492"/>
      </w:pPr>
    </w:lvl>
  </w:abstractNum>
  <w:abstractNum w15:restartNumberingAfterBreak="0" w:abstractNumId="1">
    <w:nsid w:val="FFFFFF7D"/>
    <w:multiLevelType w:val="singleLevel"/>
    <w:tmpl w:val="5F98E458"/>
    <w:lvl w:ilvl="0">
      <w:start w:val="1"/>
      <w:numFmt w:val="decimal"/>
      <w:lvlText w:val="%1."/>
      <w:lvlJc w:val="left"/>
      <w:pPr>
        <w:tabs>
          <w:tab w:pos="1209" w:val="num"/>
        </w:tabs>
        <w:ind w:hanging="360" w:left="1209"/>
      </w:pPr>
    </w:lvl>
  </w:abstractNum>
  <w:abstractNum w15:restartNumberingAfterBreak="0" w:abstractNumId="2">
    <w:nsid w:val="FFFFFF7E"/>
    <w:multiLevelType w:val="singleLevel"/>
    <w:tmpl w:val="B4026960"/>
    <w:lvl w:ilvl="0">
      <w:start w:val="1"/>
      <w:numFmt w:val="decimal"/>
      <w:lvlText w:val="%1."/>
      <w:lvlJc w:val="left"/>
      <w:pPr>
        <w:tabs>
          <w:tab w:pos="926" w:val="num"/>
        </w:tabs>
        <w:ind w:hanging="360" w:left="926"/>
      </w:pPr>
    </w:lvl>
  </w:abstractNum>
  <w:abstractNum w15:restartNumberingAfterBreak="0" w:abstractNumId="3">
    <w:nsid w:val="FFFFFF7F"/>
    <w:multiLevelType w:val="singleLevel"/>
    <w:tmpl w:val="F4EA5DD0"/>
    <w:lvl w:ilvl="0">
      <w:start w:val="1"/>
      <w:numFmt w:val="decimal"/>
      <w:lvlText w:val="%1."/>
      <w:lvlJc w:val="left"/>
      <w:pPr>
        <w:tabs>
          <w:tab w:pos="643" w:val="num"/>
        </w:tabs>
        <w:ind w:hanging="360" w:left="643"/>
      </w:pPr>
    </w:lvl>
  </w:abstractNum>
  <w:abstractNum w15:restartNumberingAfterBreak="0" w:abstractNumId="4">
    <w:nsid w:val="FFFFFF80"/>
    <w:multiLevelType w:val="singleLevel"/>
    <w:tmpl w:val="12906A7E"/>
    <w:lvl w:ilvl="0">
      <w:start w:val="1"/>
      <w:numFmt w:val="bullet"/>
      <w:lvlText w:val=""/>
      <w:lvlJc w:val="left"/>
      <w:pPr>
        <w:tabs>
          <w:tab w:pos="1492" w:val="num"/>
        </w:tabs>
        <w:ind w:hanging="360" w:left="1492"/>
      </w:pPr>
      <w:rPr>
        <w:rFonts w:ascii="Symbol" w:cs="Symbol" w:hAnsi="Symbol" w:hint="default"/>
      </w:rPr>
    </w:lvl>
  </w:abstractNum>
  <w:abstractNum w15:restartNumberingAfterBreak="0" w:abstractNumId="5">
    <w:nsid w:val="FFFFFF81"/>
    <w:multiLevelType w:val="singleLevel"/>
    <w:tmpl w:val="EBD6FBB4"/>
    <w:lvl w:ilvl="0">
      <w:start w:val="1"/>
      <w:numFmt w:val="bullet"/>
      <w:lvlText w:val=""/>
      <w:lvlJc w:val="left"/>
      <w:pPr>
        <w:tabs>
          <w:tab w:pos="1209" w:val="num"/>
        </w:tabs>
        <w:ind w:hanging="360" w:left="1209"/>
      </w:pPr>
      <w:rPr>
        <w:rFonts w:ascii="Symbol" w:hAnsi="Symbol" w:hint="default"/>
      </w:rPr>
    </w:lvl>
  </w:abstractNum>
  <w:abstractNum w15:restartNumberingAfterBreak="0" w:abstractNumId="6">
    <w:nsid w:val="FFFFFF82"/>
    <w:multiLevelType w:val="singleLevel"/>
    <w:tmpl w:val="F12A7248"/>
    <w:lvl w:ilvl="0">
      <w:start w:val="1"/>
      <w:numFmt w:val="bullet"/>
      <w:lvlText w:val=""/>
      <w:lvlJc w:val="left"/>
      <w:pPr>
        <w:tabs>
          <w:tab w:pos="926" w:val="num"/>
        </w:tabs>
        <w:ind w:hanging="360" w:left="926"/>
      </w:pPr>
      <w:rPr>
        <w:rFonts w:ascii="Symbol" w:hAnsi="Symbol" w:hint="default"/>
      </w:rPr>
    </w:lvl>
  </w:abstractNum>
  <w:abstractNum w15:restartNumberingAfterBreak="0" w:abstractNumId="7">
    <w:nsid w:val="FFFFFF83"/>
    <w:multiLevelType w:val="singleLevel"/>
    <w:tmpl w:val="A6082D06"/>
    <w:lvl w:ilvl="0">
      <w:start w:val="1"/>
      <w:numFmt w:val="bullet"/>
      <w:lvlText w:val=""/>
      <w:lvlJc w:val="left"/>
      <w:pPr>
        <w:tabs>
          <w:tab w:pos="643" w:val="num"/>
        </w:tabs>
        <w:ind w:hanging="360" w:left="643"/>
      </w:pPr>
      <w:rPr>
        <w:rFonts w:ascii="Symbol" w:hAnsi="Symbol" w:hint="default"/>
      </w:rPr>
    </w:lvl>
  </w:abstractNum>
  <w:abstractNum w15:restartNumberingAfterBreak="0" w:abstractNumId="8">
    <w:nsid w:val="FFFFFF88"/>
    <w:multiLevelType w:val="singleLevel"/>
    <w:tmpl w:val="7430E372"/>
    <w:lvl w:ilvl="0">
      <w:start w:val="1"/>
      <w:numFmt w:val="decimal"/>
      <w:lvlText w:val="%1."/>
      <w:lvlJc w:val="left"/>
      <w:pPr>
        <w:tabs>
          <w:tab w:pos="360" w:val="num"/>
        </w:tabs>
        <w:ind w:hanging="360" w:left="360"/>
      </w:pPr>
    </w:lvl>
  </w:abstractNum>
  <w:abstractNum w15:restartNumberingAfterBreak="0" w:abstractNumId="9">
    <w:nsid w:val="FFFFFF89"/>
    <w:multiLevelType w:val="singleLevel"/>
    <w:tmpl w:val="A4AC0676"/>
    <w:lvl w:ilvl="0">
      <w:start w:val="1"/>
      <w:numFmt w:val="bullet"/>
      <w:lvlText w:val=""/>
      <w:lvlJc w:val="left"/>
      <w:pPr>
        <w:tabs>
          <w:tab w:pos="360" w:val="num"/>
        </w:tabs>
        <w:ind w:hanging="360" w:left="360"/>
      </w:pPr>
      <w:rPr>
        <w:rFonts w:ascii="Symbol" w:hAnsi="Symbol" w:hint="default"/>
      </w:rPr>
    </w:lvl>
  </w:abstractNum>
  <w:abstractNum w15:restartNumberingAfterBreak="0" w:abstractNumId="10">
    <w:nsid w:val="170CD2DE"/>
    <w:multiLevelType w:val="multilevel"/>
    <w:tmpl w:val="FC5E68C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bullet"/>
      <w:lvlText w:val=" "/>
      <w:lvlJc w:val="left"/>
      <w:pPr>
        <w:tabs>
          <w:tab w:pos="5040" w:val="num"/>
        </w:tabs>
        <w:ind w:hanging="480" w:left="5520"/>
      </w:pPr>
    </w:lvl>
    <w:lvl w:ilvl="8">
      <w:numFmt w:val="bullet"/>
      <w:lvlText w:val=" "/>
      <w:lvlJc w:val="left"/>
      <w:pPr>
        <w:tabs>
          <w:tab w:pos="5760" w:val="num"/>
        </w:tabs>
        <w:ind w:hanging="480" w:left="6240"/>
      </w:pPr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abstractNum w:abstractNumId="99511">
    <w:nsid w:val="A99511"/>
    <w:multiLevelType w:val="multilevel"/>
    <w:lvl w:ilvl="0">
      <w:start w:val="1"/>
      <w:numFmt w:val="lowerRoman"/>
      <w:lvlText w:val="%1."/>
      <w:lvlJc w:val="left"/>
      <w:pPr>
        <w:ind w:left="720" w:hanging="480"/>
      </w:pPr>
    </w:lvl>
    <w:lvl w:ilvl="1">
      <w:start w:val="1"/>
      <w:numFmt w:val="lowerRoman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lowerRoman"/>
      <w:lvlText w:val="%4."/>
      <w:lvlJc w:val="left"/>
      <w:pPr>
        <w:ind w:left="2880" w:hanging="480"/>
      </w:pPr>
    </w:lvl>
    <w:lvl w:ilvl="4">
      <w:start w:val="1"/>
      <w:numFmt w:val="lowerRoman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lowerRoman"/>
      <w:lvlText w:val="%7."/>
      <w:lvlJc w:val="left"/>
      <w:pPr>
        <w:ind w:left="5040" w:hanging="480"/>
      </w:pPr>
    </w:lvl>
    <w:lvl w:ilvl="7">
      <w:start w:val="1"/>
      <w:numFmt w:val="lowerRoman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411">
    <w:nsid w:val="A9941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decimal"/>
      <w:lvlText w:val="%2."/>
      <w:lvlJc w:val="left"/>
      <w:pPr>
        <w:ind w:left="1440" w:hanging="480"/>
      </w:pPr>
    </w:lvl>
    <w:lvl w:ilvl="2">
      <w:start w:val="1"/>
      <w:numFmt w:val="decimal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decimal"/>
      <w:lvlText w:val="%5."/>
      <w:lvlJc w:val="left"/>
      <w:pPr>
        <w:ind w:left="3600" w:hanging="480"/>
      </w:pPr>
    </w:lvl>
    <w:lvl w:ilvl="5">
      <w:start w:val="1"/>
      <w:numFmt w:val="decimal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decimal"/>
      <w:lvlText w:val="%8."/>
      <w:lvlJc w:val="left"/>
      <w:pPr>
        <w:ind w:left="5760" w:hanging="480"/>
      </w:pPr>
    </w:lvl>
    <w:lvl w:ilvl="8">
      <w:start w:val="1"/>
      <w:numFmt w:val="decimal"/>
      <w:lvlText w:val="%9."/>
      <w:lvlJc w:val="left"/>
      <w:pPr>
        <w:ind w:left="6480" w:hanging="480"/>
      </w:pPr>
    </w:lvl>
  </w:abstractNum>
  <w:num w16cid:durableId="463625701" w:numId="1">
    <w:abstractNumId w:val="10"/>
  </w:num>
  <w:num w16cid:durableId="398986169" w:numId="2">
    <w:abstractNumId w:val="0"/>
  </w:num>
  <w:num w16cid:durableId="1447194981" w:numId="3">
    <w:abstractNumId w:val="1"/>
  </w:num>
  <w:num w16cid:durableId="1354303259" w:numId="4">
    <w:abstractNumId w:val="2"/>
  </w:num>
  <w:num w16cid:durableId="1099714785" w:numId="5">
    <w:abstractNumId w:val="3"/>
  </w:num>
  <w:num w16cid:durableId="1800102660" w:numId="6">
    <w:abstractNumId w:val="8"/>
  </w:num>
  <w:num w16cid:durableId="1079213627" w:numId="7">
    <w:abstractNumId w:val="4"/>
  </w:num>
  <w:num w16cid:durableId="2073961952" w:numId="8">
    <w:abstractNumId w:val="5"/>
  </w:num>
  <w:num w16cid:durableId="649210763" w:numId="9">
    <w:abstractNumId w:val="6"/>
  </w:num>
  <w:num w16cid:durableId="1063018244" w:numId="10">
    <w:abstractNumId w:val="7"/>
  </w:num>
  <w:num w16cid:durableId="184291971" w:numId="11">
    <w:abstractNumId w:val="9"/>
  </w:num>
  <w:num w:numId="1000">
    <w:abstractNumId w:val="990"/>
  </w:num>
  <w:num w:numId="1001">
    <w:abstractNumId w:val="991"/>
  </w:num>
  <w:num w:numId="1002">
    <w:abstractNumId w:val="995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  <w:num w:numId="1015">
    <w:abstractNumId w:val="991"/>
  </w:num>
  <w:num w:numId="1016">
    <w:abstractNumId w:val="991"/>
  </w:num>
  <w:num w:numId="1017">
    <w:abstractNumId w:val="991"/>
  </w:num>
  <w:num w:numId="1018">
    <w:abstractNumId w:val="991"/>
  </w:num>
  <w:num w:numId="1019">
    <w:abstractNumId w:val="991"/>
  </w:num>
  <w:num w:numId="1020">
    <w:abstractNumId w:val="994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1">
    <w:abstractNumId w:val="991"/>
  </w:num>
  <w:num w:numId="1022">
    <w:abstractNumId w:val="991"/>
  </w:num>
  <w:num w:numId="1023">
    <w:abstractNumId w:val="991"/>
  </w:num>
  <w:num w:numId="1024">
    <w:abstractNumId w:val="991"/>
  </w:num>
  <w:num w:numId="1025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189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76" w:defLockedState="0" w:defQFormat="0" w:defSemiHidden="0" w:defUIPriority="0" w:defUnhideWhenUsed="0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default="1" w:styleId="Normal" w:type="paragraph">
    <w:name w:val="Normal"/>
    <w:qFormat/>
    <w:rsid w:val="00011855"/>
    <w:pPr>
      <w:spacing w:before="120"/>
    </w:pPr>
    <w:rPr>
      <w:rFonts w:ascii="Atkinson Hyperlegible" w:hAnsi="Atkinson Hyperlegible"/>
    </w:rPr>
  </w:style>
  <w:style w:styleId="Heading1" w:type="paragraph">
    <w:name w:val="heading 1"/>
    <w:basedOn w:val="Normal"/>
    <w:next w:val="BodyText"/>
    <w:uiPriority w:val="9"/>
    <w:qFormat/>
    <w:rsid w:val="000E3EAF"/>
    <w:pPr>
      <w:keepNext/>
      <w:keepLines/>
      <w:pBdr>
        <w:top w:color="auto" w:space="1" w:sz="4" w:val="single"/>
        <w:left w:color="auto" w:space="4" w:sz="4" w:val="single"/>
        <w:bottom w:color="auto" w:space="1" w:sz="4" w:val="single"/>
        <w:right w:color="auto" w:space="4" w:sz="4" w:val="single"/>
      </w:pBdr>
      <w:shd w:color="auto" w:fill="auto" w:val="pct15"/>
      <w:spacing w:after="0" w:before="480"/>
      <w:outlineLvl w:val="0"/>
    </w:pPr>
    <w:rPr>
      <w:rFonts w:cstheme="majorBidi" w:eastAsiaTheme="majorEastAsia"/>
      <w:b/>
      <w:bCs/>
      <w:color w:themeColor="accent1" w:val="4F81BD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rsid w:val="003E251B"/>
    <w:pPr>
      <w:keepNext/>
      <w:keepLines/>
      <w:pBdr>
        <w:top w:color="auto" w:space="4" w:sz="4" w:val="single"/>
      </w:pBdr>
      <w:spacing w:after="480" w:before="480"/>
      <w:contextualSpacing/>
      <w:jc w:val="center"/>
      <w:outlineLvl w:val="1"/>
    </w:pPr>
    <w:rPr>
      <w:rFonts w:cstheme="majorBidi" w:eastAsiaTheme="majorEastAsia"/>
      <w:b/>
      <w:bCs/>
      <w:color w:themeColor="text2" w:val="1F497D"/>
      <w:sz w:val="28"/>
      <w:szCs w:val="28"/>
    </w:rPr>
  </w:style>
  <w:style w:styleId="Heading3" w:type="paragraph">
    <w:name w:val="heading 3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2"/>
    </w:pPr>
    <w:rPr>
      <w:rFonts w:cstheme="majorBidi" w:eastAsiaTheme="majorEastAsia"/>
      <w:b/>
      <w:bCs/>
      <w:color w:themeColor="accent1" w:val="4F81BD"/>
    </w:rPr>
  </w:style>
  <w:style w:styleId="Heading4" w:type="paragraph">
    <w:name w:val="heading 4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3"/>
    </w:pPr>
    <w:rPr>
      <w:rFonts w:cstheme="majorBidi" w:eastAsiaTheme="majorEastAsia"/>
      <w:bCs/>
      <w:i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4"/>
    </w:pPr>
    <w:rPr>
      <w:rFonts w:cstheme="majorBidi" w:eastAsiaTheme="majorEastAsia"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5"/>
    </w:pPr>
    <w:rPr>
      <w:rFonts w:cstheme="majorBidi" w:eastAsiaTheme="majorEastAsia"/>
      <w:color w:themeColor="accent1" w:val="4F81BD"/>
    </w:rPr>
  </w:style>
  <w:style w:styleId="Heading7" w:type="paragraph">
    <w:name w:val="heading 7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6"/>
    </w:pPr>
    <w:rPr>
      <w:rFonts w:cstheme="majorBidi" w:eastAsiaTheme="majorEastAsia"/>
      <w:color w:themeColor="accent1" w:val="4F81BD"/>
    </w:rPr>
  </w:style>
  <w:style w:styleId="Heading8" w:type="paragraph">
    <w:name w:val="heading 8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7"/>
    </w:pPr>
    <w:rPr>
      <w:rFonts w:cstheme="majorBidi" w:eastAsiaTheme="majorEastAsia"/>
      <w:color w:themeColor="accent1" w:val="4F81BD"/>
    </w:rPr>
  </w:style>
  <w:style w:styleId="Heading9" w:type="paragraph">
    <w:name w:val="heading 9"/>
    <w:basedOn w:val="Normal"/>
    <w:next w:val="BodyText"/>
    <w:uiPriority w:val="9"/>
    <w:unhideWhenUsed/>
    <w:qFormat/>
    <w:rsid w:val="00641073"/>
    <w:pPr>
      <w:keepNext/>
      <w:keepLines/>
      <w:spacing w:after="0" w:before="200"/>
      <w:outlineLvl w:val="8"/>
    </w:pPr>
    <w:rPr>
      <w:rFonts w:cstheme="majorBidi" w:eastAsiaTheme="majorEastAsia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link w:val="BodyTextChar"/>
    <w:qFormat/>
    <w:rsid w:val="00641073"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  <w:rsid w:val="00641073"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rsid w:val="006D2303"/>
    <w:pPr>
      <w:keepNext/>
      <w:keepLines/>
      <w:spacing w:after="240" w:before="480"/>
      <w:jc w:val="center"/>
    </w:pPr>
    <w:rPr>
      <w:rFonts w:cstheme="majorBidi" w:eastAsiaTheme="majorEastAsia"/>
      <w:b/>
      <w:bCs/>
      <w:color w:val="325B74"/>
      <w:sz w:val="36"/>
      <w:szCs w:val="36"/>
    </w:rPr>
  </w:style>
  <w:style w:styleId="Subtitle" w:type="paragraph">
    <w:name w:val="Subtitle"/>
    <w:basedOn w:val="Title"/>
    <w:next w:val="BodyText"/>
    <w:qFormat/>
    <w:rsid w:val="006D2303"/>
    <w:pPr>
      <w:spacing w:before="240"/>
    </w:pPr>
    <w:rPr>
      <w:i/>
      <w:sz w:val="30"/>
      <w:szCs w:val="30"/>
    </w:rPr>
  </w:style>
  <w:style w:customStyle="1" w:styleId="Author" w:type="paragraph">
    <w:name w:val="Author"/>
    <w:next w:val="BodyText"/>
    <w:qFormat/>
    <w:rsid w:val="00641073"/>
    <w:pPr>
      <w:keepNext/>
      <w:keepLines/>
      <w:jc w:val="center"/>
    </w:pPr>
    <w:rPr>
      <w:rFonts w:ascii="Atkinson Hyperlegible" w:hAnsi="Atkinson Hyperlegible"/>
    </w:rPr>
  </w:style>
  <w:style w:styleId="Date" w:type="paragraph">
    <w:name w:val="Date"/>
    <w:next w:val="BodyText"/>
    <w:qFormat/>
    <w:rsid w:val="00641073"/>
    <w:pPr>
      <w:keepNext/>
      <w:keepLines/>
      <w:jc w:val="center"/>
    </w:pPr>
    <w:rPr>
      <w:rFonts w:ascii="Atkinson Hyperlegible" w:hAnsi="Atkinson Hyperlegible"/>
    </w:rPr>
  </w:style>
  <w:style w:customStyle="1" w:styleId="Abstract" w:type="paragraph">
    <w:name w:val="Abstract"/>
    <w:basedOn w:val="Normal"/>
    <w:next w:val="BodyText"/>
    <w:qFormat/>
    <w:rsid w:val="00641073"/>
    <w:pPr>
      <w:keepNext/>
      <w:keepLines/>
      <w:spacing w:after="300" w:before="300"/>
    </w:pPr>
    <w:rPr>
      <w:rFonts w:cs="Times New Roman (Body CS)"/>
      <w:sz w:val="20"/>
      <w:szCs w:val="20"/>
    </w:rPr>
  </w:style>
  <w:style w:styleId="Bibliography" w:type="paragraph">
    <w:name w:val="Bibliography"/>
    <w:basedOn w:val="Normal"/>
    <w:qFormat/>
    <w:rsid w:val="004C5413"/>
    <w:pPr>
      <w:ind w:hanging="510" w:left="510"/>
    </w:pPr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  <w:ind w:left="480" w:right="480"/>
    </w:pPr>
  </w:style>
  <w:style w:styleId="FootnoteText" w:type="paragraph">
    <w:name w:val="footnote text"/>
    <w:basedOn w:val="Normal"/>
    <w:uiPriority w:val="9"/>
    <w:unhideWhenUsed/>
    <w:qFormat/>
    <w:rsid w:val="00E343F9"/>
  </w:style>
  <w:style w:customStyle="1" w:styleId="Table" w:type="table">
    <w:name w:val="Table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</w:tblPr>
      <w:trPr>
        <w:jc w:val="left"/>
      </w:trPr>
      <w:tcPr>
        <w:tcBorders>
          <w:bottom w:color="auto" w:space="0" w:sz="0"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rsid w:val="00E343F9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  <w:rsid w:val="00E343F9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rsid w:val="00E343F9"/>
    <w:pPr>
      <w:keepNext/>
    </w:pPr>
  </w:style>
  <w:style w:customStyle="1" w:styleId="ImageCaption" w:type="paragraph">
    <w:name w:val="Image Caption"/>
    <w:basedOn w:val="Caption"/>
    <w:rsid w:val="00E343F9"/>
  </w:style>
  <w:style w:customStyle="1" w:styleId="Figure" w:type="paragraph">
    <w:name w:val="Figure"/>
    <w:basedOn w:val="Normal"/>
  </w:style>
  <w:style w:customStyle="1" w:styleId="CaptionedFigure" w:type="paragraph">
    <w:name w:val="Captioned Figure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rPr>
      <w:rFonts w:ascii="Consolas" w:hAnsi="Consolas"/>
      <w:sz w:val="22"/>
    </w:rPr>
  </w:style>
  <w:style w:customStyle="1" w:styleId="SectionNumber" w:type="character">
    <w:name w:val="Section Number"/>
    <w:basedOn w:val="CaptionChar"/>
  </w:style>
  <w:style w:styleId="FootnoteReference" w:type="character">
    <w:name w:val="footnote reference"/>
    <w:basedOn w:val="CaptionChar"/>
    <w:rsid w:val="00E343F9"/>
    <w:rPr>
      <w:vertAlign w:val="superscript"/>
    </w:rPr>
  </w:style>
  <w:style w:styleId="Hyperlink" w:type="character">
    <w:name w:val="Hyperlink"/>
    <w:basedOn w:val="CaptionChar"/>
    <w:rsid w:val="00E343F9"/>
    <w:rPr>
      <w:rFonts w:ascii="Atkinson Hyperlegible" w:hAnsi="Atkinson Hyperlegible"/>
      <w:color w:val="0070C0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hAnsiTheme="majorHAnsi"/>
      <w:b w:val="0"/>
      <w:bCs w:val="0"/>
      <w:color w:themeColor="accent1" w:themeShade="BF" w:val="365F91"/>
    </w:rPr>
  </w:style>
  <w:style w:styleId="FollowedHyperlink" w:type="character">
    <w:name w:val="FollowedHyperlink"/>
    <w:basedOn w:val="DefaultParagraphFont"/>
    <w:semiHidden/>
    <w:unhideWhenUsed/>
    <w:rsid w:val="00641073"/>
    <w:rPr>
      <w:color w:themeColor="followedHyperlink" w:val="800080"/>
      <w:u w:val="single"/>
    </w:rPr>
  </w:style>
  <w:style w:customStyle="1" w:styleId="BodyTextChar" w:type="character">
    <w:name w:val="Body Text Char"/>
    <w:basedOn w:val="DefaultParagraphFont"/>
    <w:link w:val="BodyText"/>
    <w:rsid w:val="00641073"/>
    <w:rPr>
      <w:rFonts w:ascii="Atkinson Hyperlegible" w:hAnsi="Atkinson Hyperlegible"/>
    </w:rPr>
  </w:style>
  <w:style w:styleId="NoteHeading" w:type="paragraph">
    <w:name w:val="Note Heading"/>
    <w:basedOn w:val="Normal"/>
    <w:next w:val="Normal"/>
    <w:link w:val="NoteHeadingChar"/>
    <w:rsid w:val="00CF50C1"/>
    <w:pPr>
      <w:spacing w:after="0"/>
    </w:pPr>
  </w:style>
  <w:style w:customStyle="1" w:styleId="NoteHeadingChar" w:type="character">
    <w:name w:val="Note Heading Char"/>
    <w:basedOn w:val="DefaultParagraphFont"/>
    <w:link w:val="NoteHeading"/>
    <w:rsid w:val="00CF50C1"/>
  </w:style>
  <w:style w:type="paragraph" w:customStyle="1" w:styleId="SourceCode">
    <w:name w:val="Source Code"/>
    <w:basedOn w:val="Normal"/>
    <w:link w:val="VerbatimChar"/>
    <w:pPr>
      <w:wordWrap w:val="off"/>
      <w:shd w:val="clear" w:fill="f1f3f5"/>
    </w:pPr>
  </w:style>
  <w:style w:type="character" w:customStyle="1" w:styleId="KeywordTok">
    <w:name w:val="KeywordTok"/>
    <w:basedOn w:val="VerbatimChar"/>
    <w:rPr>
      <w:color w:val="003b4f"/>
      <w:shd w:val="clear" w:fill="f1f3f5"/>
    </w:rPr>
  </w:style>
  <w:style w:type="character" w:customStyle="1" w:styleId="DataTypeTok">
    <w:name w:val="DataTypeTok"/>
    <w:basedOn w:val="VerbatimChar"/>
    <w:rPr>
      <w:color w:val="ad0000"/>
      <w:shd w:val="clear" w:fill="f1f3f5"/>
    </w:rPr>
  </w:style>
  <w:style w:type="character" w:customStyle="1" w:styleId="DecValTok">
    <w:name w:val="DecValTok"/>
    <w:basedOn w:val="VerbatimChar"/>
    <w:rPr>
      <w:color w:val="ad0000"/>
      <w:shd w:val="clear" w:fill="f1f3f5"/>
    </w:rPr>
  </w:style>
  <w:style w:type="character" w:customStyle="1" w:styleId="BaseNTok">
    <w:name w:val="BaseNTok"/>
    <w:basedOn w:val="VerbatimChar"/>
    <w:rPr>
      <w:color w:val="ad0000"/>
      <w:shd w:val="clear" w:fill="f1f3f5"/>
    </w:rPr>
  </w:style>
  <w:style w:type="character" w:customStyle="1" w:styleId="FloatTok">
    <w:name w:val="FloatTok"/>
    <w:basedOn w:val="VerbatimChar"/>
    <w:rPr>
      <w:color w:val="ad0000"/>
      <w:shd w:val="clear" w:fill="f1f3f5"/>
    </w:rPr>
  </w:style>
  <w:style w:type="character" w:customStyle="1" w:styleId="ConstantTok">
    <w:name w:val="ConstantTok"/>
    <w:basedOn w:val="VerbatimChar"/>
    <w:rPr>
      <w:color w:val="8f5902"/>
      <w:shd w:val="clear" w:fill="f1f3f5"/>
    </w:rPr>
  </w:style>
  <w:style w:type="character" w:customStyle="1" w:styleId="CharTok">
    <w:name w:val="CharTok"/>
    <w:basedOn w:val="VerbatimChar"/>
    <w:rPr>
      <w:color w:val="20794d"/>
      <w:shd w:val="clear" w:fill="f1f3f5"/>
    </w:rPr>
  </w:style>
  <w:style w:type="character" w:customStyle="1" w:styleId="SpecialCharTok">
    <w:name w:val="SpecialCharTok"/>
    <w:basedOn w:val="VerbatimChar"/>
    <w:rPr>
      <w:color w:val="5e5e5e"/>
      <w:shd w:val="clear" w:fill="f1f3f5"/>
    </w:rPr>
  </w:style>
  <w:style w:type="character" w:customStyle="1" w:styleId="StringTok">
    <w:name w:val="StringTok"/>
    <w:basedOn w:val="VerbatimChar"/>
    <w:rPr>
      <w:color w:val="20794d"/>
      <w:shd w:val="clear" w:fill="f1f3f5"/>
    </w:rPr>
  </w:style>
  <w:style w:type="character" w:customStyle="1" w:styleId="VerbatimStringTok">
    <w:name w:val="VerbatimStringTok"/>
    <w:basedOn w:val="VerbatimChar"/>
    <w:rPr>
      <w:color w:val="20794d"/>
      <w:shd w:val="clear" w:fill="f1f3f5"/>
    </w:rPr>
  </w:style>
  <w:style w:type="character" w:customStyle="1" w:styleId="SpecialStringTok">
    <w:name w:val="SpecialStringTok"/>
    <w:basedOn w:val="VerbatimChar"/>
    <w:rPr>
      <w:color w:val="20794d"/>
      <w:shd w:val="clear" w:fill="f1f3f5"/>
    </w:rPr>
  </w:style>
  <w:style w:type="character" w:customStyle="1" w:styleId="ImportTok">
    <w:name w:val="ImportTok"/>
    <w:basedOn w:val="VerbatimChar"/>
    <w:rPr>
      <w:color w:val="00769e"/>
      <w:shd w:val="clear" w:fill="f1f3f5"/>
    </w:rPr>
  </w:style>
  <w:style w:type="character" w:customStyle="1" w:styleId="CommentTok">
    <w:name w:val="CommentTok"/>
    <w:basedOn w:val="VerbatimChar"/>
    <w:rPr>
      <w:color w:val="5e5e5e"/>
      <w:shd w:val="clear" w:fill="f1f3f5"/>
    </w:rPr>
  </w:style>
  <w:style w:type="character" w:customStyle="1" w:styleId="DocumentationTok">
    <w:name w:val="DocumentationTok"/>
    <w:basedOn w:val="VerbatimChar"/>
    <w:rPr>
      <w:color w:val="5e5e5e"/>
      <w:shd w:val="clear" w:fill="f1f3f5"/>
      <w:i/>
    </w:rPr>
  </w:style>
  <w:style w:type="character" w:customStyle="1" w:styleId="AnnotationTok">
    <w:name w:val="AnnotationTok"/>
    <w:basedOn w:val="VerbatimChar"/>
    <w:rPr>
      <w:color w:val="5e5e5e"/>
      <w:shd w:val="clear" w:fill="f1f3f5"/>
    </w:rPr>
  </w:style>
  <w:style w:type="character" w:customStyle="1" w:styleId="CommentVarTok">
    <w:name w:val="CommentVarTok"/>
    <w:basedOn w:val="VerbatimChar"/>
    <w:rPr>
      <w:color w:val="5e5e5e"/>
      <w:shd w:val="clear" w:fill="f1f3f5"/>
      <w:i/>
    </w:rPr>
  </w:style>
  <w:style w:type="character" w:customStyle="1" w:styleId="OtherTok">
    <w:name w:val="OtherTok"/>
    <w:basedOn w:val="VerbatimChar"/>
    <w:rPr>
      <w:color w:val="003b4f"/>
      <w:shd w:val="clear" w:fill="f1f3f5"/>
    </w:rPr>
  </w:style>
  <w:style w:type="character" w:customStyle="1" w:styleId="FunctionTok">
    <w:name w:val="FunctionTok"/>
    <w:basedOn w:val="VerbatimChar"/>
    <w:rPr>
      <w:color w:val="4758ab"/>
      <w:shd w:val="clear" w:fill="f1f3f5"/>
    </w:rPr>
  </w:style>
  <w:style w:type="character" w:customStyle="1" w:styleId="VariableTok">
    <w:name w:val="VariableTok"/>
    <w:basedOn w:val="VerbatimChar"/>
    <w:rPr>
      <w:color w:val="111111"/>
      <w:shd w:val="clear" w:fill="f1f3f5"/>
    </w:rPr>
  </w:style>
  <w:style w:type="character" w:customStyle="1" w:styleId="ControlFlowTok">
    <w:name w:val="ControlFlowTok"/>
    <w:basedOn w:val="VerbatimChar"/>
    <w:rPr>
      <w:color w:val="003b4f"/>
      <w:shd w:val="clear" w:fill="f1f3f5"/>
    </w:rPr>
  </w:style>
  <w:style w:type="character" w:customStyle="1" w:styleId="OperatorTok">
    <w:name w:val="OperatorTok"/>
    <w:basedOn w:val="VerbatimChar"/>
    <w:rPr>
      <w:color w:val="5e5e5e"/>
      <w:shd w:val="clear" w:fill="f1f3f5"/>
    </w:rPr>
  </w:style>
  <w:style w:type="character" w:customStyle="1" w:styleId="BuiltInTok">
    <w:name w:val="BuiltInTok"/>
    <w:basedOn w:val="VerbatimChar"/>
    <w:rPr>
      <w:color w:val="003b4f"/>
      <w:shd w:val="clear" w:fill="f1f3f5"/>
    </w:rPr>
  </w:style>
  <w:style w:type="character" w:customStyle="1" w:styleId="ExtensionTok">
    <w:name w:val="ExtensionTok"/>
    <w:basedOn w:val="VerbatimChar"/>
    <w:rPr>
      <w:color w:val="003b4f"/>
      <w:shd w:val="clear" w:fill="f1f3f5"/>
    </w:rPr>
  </w:style>
  <w:style w:type="character" w:customStyle="1" w:styleId="PreprocessorTok">
    <w:name w:val="PreprocessorTok"/>
    <w:basedOn w:val="VerbatimChar"/>
    <w:rPr>
      <w:color w:val="ad0000"/>
      <w:shd w:val="clear" w:fill="f1f3f5"/>
    </w:rPr>
  </w:style>
  <w:style w:type="character" w:customStyle="1" w:styleId="AttributeTok">
    <w:name w:val="AttributeTok"/>
    <w:basedOn w:val="VerbatimChar"/>
    <w:rPr>
      <w:color w:val="657422"/>
      <w:shd w:val="clear" w:fill="f1f3f5"/>
    </w:rPr>
  </w:style>
  <w:style w:type="character" w:customStyle="1" w:styleId="RegionMarkerTok">
    <w:name w:val="RegionMarkerTok"/>
    <w:basedOn w:val="VerbatimChar"/>
    <w:rPr>
      <w:color w:val="003b4f"/>
      <w:shd w:val="clear" w:fill="f1f3f5"/>
    </w:rPr>
  </w:style>
  <w:style w:type="character" w:customStyle="1" w:styleId="InformationTok">
    <w:name w:val="InformationTok"/>
    <w:basedOn w:val="VerbatimChar"/>
    <w:rPr>
      <w:color w:val="5e5e5e"/>
      <w:shd w:val="clear" w:fill="f1f3f5"/>
    </w:rPr>
  </w:style>
  <w:style w:type="character" w:customStyle="1" w:styleId="WarningTok">
    <w:name w:val="WarningTok"/>
    <w:basedOn w:val="VerbatimChar"/>
    <w:rPr>
      <w:color w:val="5e5e5e"/>
      <w:shd w:val="clear" w:fill="f1f3f5"/>
      <w:i/>
    </w:rPr>
  </w:style>
  <w:style w:type="character" w:customStyle="1" w:styleId="AlertTok">
    <w:name w:val="AlertTok"/>
    <w:basedOn w:val="VerbatimChar"/>
    <w:rPr>
      <w:color w:val="ad0000"/>
      <w:shd w:val="clear" w:fill="f1f3f5"/>
    </w:rPr>
  </w:style>
  <w:style w:type="character" w:customStyle="1" w:styleId="ErrorTok">
    <w:name w:val="ErrorTok"/>
    <w:basedOn w:val="VerbatimChar"/>
    <w:rPr>
      <w:color w:val="ad0000"/>
      <w:shd w:val="clear" w:fill="f1f3f5"/>
    </w:rPr>
  </w:style>
  <w:style w:type="character" w:customStyle="1" w:styleId="NormalTok">
    <w:name w:val="NormalTok"/>
    <w:basedOn w:val="VerbatimChar"/>
    <w:rPr>
      <w:color w:val="003b4f"/>
      <w:shd w:val="clear" w:fill="f1f3f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Type="http://schemas.openxmlformats.org/officeDocument/2006/relationships/image" Id="rId113" Target="media/rId113.png" /><Relationship Type="http://schemas.openxmlformats.org/officeDocument/2006/relationships/image" Id="rId109" Target="media/rId109.png" /><Relationship Type="http://schemas.openxmlformats.org/officeDocument/2006/relationships/image" Id="rId77" Target="media/rId77.png" /><Relationship Type="http://schemas.openxmlformats.org/officeDocument/2006/relationships/image" Id="rId21" Target="media/rId21.jpg" /><Relationship Type="http://schemas.openxmlformats.org/officeDocument/2006/relationships/image" Id="rId24" Target="media/rId24.jpg" /><Relationship Type="http://schemas.openxmlformats.org/officeDocument/2006/relationships/image" Id="rId30" Target="media/rId30.jpg" /><Relationship Type="http://schemas.openxmlformats.org/officeDocument/2006/relationships/image" Id="rId33" Target="media/rId33.jpg" /><Relationship Type="http://schemas.openxmlformats.org/officeDocument/2006/relationships/image" Id="rId36" Target="media/rId36.jpg" /><Relationship Type="http://schemas.openxmlformats.org/officeDocument/2006/relationships/image" Id="rId27" Target="media/rId27.jpg" /><Relationship Type="http://schemas.openxmlformats.org/officeDocument/2006/relationships/image" Id="rId39" Target="media/rId39.jpg" /><Relationship Type="http://schemas.openxmlformats.org/officeDocument/2006/relationships/image" Id="rId64" Target="media/rId64.png" /><Relationship Type="http://schemas.openxmlformats.org/officeDocument/2006/relationships/image" Id="rId68" Target="media/rId68.png" /><Relationship Type="http://schemas.openxmlformats.org/officeDocument/2006/relationships/image" Id="rId47" Target="media/rId47.png" /><Relationship Type="http://schemas.openxmlformats.org/officeDocument/2006/relationships/image" Id="rId120" Target="media/rId120.png" /><Relationship Type="http://schemas.openxmlformats.org/officeDocument/2006/relationships/image" Id="rId60" Target="media/rId60.png" /><Relationship Type="http://schemas.openxmlformats.org/officeDocument/2006/relationships/image" Id="rId87" Target="media/rId87.png" /><Relationship Type="http://schemas.openxmlformats.org/officeDocument/2006/relationships/image" Id="rId95" Target="media/rId95.png" /><Relationship Type="http://schemas.openxmlformats.org/officeDocument/2006/relationships/image" Id="rId52" Target="media/rId52.png" /><Relationship Type="http://schemas.openxmlformats.org/officeDocument/2006/relationships/image" Id="rId99" Target="media/rId99.png" /><Relationship Type="http://schemas.openxmlformats.org/officeDocument/2006/relationships/image" Id="rId56" Target="media/rId56.png" /><Relationship Type="http://schemas.openxmlformats.org/officeDocument/2006/relationships/image" Id="rId91" Target="media/rId91.png" /><Relationship Type="http://schemas.openxmlformats.org/officeDocument/2006/relationships/hyperlink" Id="rId50" Target="https://www.apa.org/careers/resources/guides/transferable-skills.pdf" TargetMode="External" /><Relationship Type="http://schemas.openxmlformats.org/officeDocument/2006/relationships/hyperlink" Id="rId46" Target="https://www.apa.org/ed/precollege/psn/2019/02/skillful-student" TargetMode="External" /></Relationships>
</file>

<file path=word/_rels/footnotes.xml.rels><?xml version="1.0" encoding="UTF-8"?><Relationships xmlns="http://schemas.openxmlformats.org/package/2006/relationships"><Relationship Type="http://schemas.openxmlformats.org/officeDocument/2006/relationships/hyperlink" Id="rId50" Target="https://www.apa.org/careers/resources/guides/transferable-skills.pdf" TargetMode="External" /><Relationship Type="http://schemas.openxmlformats.org/officeDocument/2006/relationships/hyperlink" Id="rId46" Target="https://www.apa.org/ed/precollege/psn/2019/02/skillful-student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2</Pages>
  <Words>63</Words>
  <Characters>363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/>
  <LinksUpToDate>false</LinksUpToDate>
  <CharactersWithSpaces>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Lecture01</dc:title>
  <dc:creator>Dr Gordon Wright</dc:creator>
  <cp:keywords/>
  <dcterms:created xsi:type="dcterms:W3CDTF">2023-10-29T17:38:47Z</dcterms:created>
  <dcterms:modified xsi:type="dcterms:W3CDTF">2023-10-29T17:38:47Z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uthors">
    <vt:lpwstr/>
  </property>
  <property fmtid="{D5CDD505-2E9C-101B-9397-08002B2CF9AE}" pid="3" name="biblio-config">
    <vt:lpwstr>True</vt:lpwstr>
  </property>
  <property fmtid="{D5CDD505-2E9C-101B-9397-08002B2CF9AE}" pid="4" name="bibliography">
    <vt:lpwstr/>
  </property>
  <property fmtid="{D5CDD505-2E9C-101B-9397-08002B2CF9AE}" pid="5" name="by-author">
    <vt:lpwstr/>
  </property>
  <property fmtid="{D5CDD505-2E9C-101B-9397-08002B2CF9AE}" pid="6" name="chalkboard">
    <vt:lpwstr>True</vt:lpwstr>
  </property>
  <property fmtid="{D5CDD505-2E9C-101B-9397-08002B2CF9AE}" pid="7" name="csl">
    <vt:lpwstr>../apa7.csl</vt:lpwstr>
  </property>
  <property fmtid="{D5CDD505-2E9C-101B-9397-08002B2CF9AE}" pid="8" name="date">
    <vt:lpwstr>03 October, 2022</vt:lpwstr>
  </property>
  <property fmtid="{D5CDD505-2E9C-101B-9397-08002B2CF9AE}" pid="9" name="date-format">
    <vt:lpwstr>DD MMMM, YYYY</vt:lpwstr>
  </property>
  <property fmtid="{D5CDD505-2E9C-101B-9397-08002B2CF9AE}" pid="10" name="editor">
    <vt:lpwstr>visual</vt:lpwstr>
  </property>
  <property fmtid="{D5CDD505-2E9C-101B-9397-08002B2CF9AE}" pid="11" name="footer">
    <vt:lpwstr>VLE</vt:lpwstr>
  </property>
  <property fmtid="{D5CDD505-2E9C-101B-9397-08002B2CF9AE}" pid="12" name="header-includes">
    <vt:lpwstr/>
  </property>
  <property fmtid="{D5CDD505-2E9C-101B-9397-08002B2CF9AE}" pid="13" name="include-after">
    <vt:lpwstr/>
  </property>
  <property fmtid="{D5CDD505-2E9C-101B-9397-08002B2CF9AE}" pid="14" name="include-before">
    <vt:lpwstr/>
  </property>
  <property fmtid="{D5CDD505-2E9C-101B-9397-08002B2CF9AE}" pid="15" name="labels">
    <vt:lpwstr/>
  </property>
  <property fmtid="{D5CDD505-2E9C-101B-9397-08002B2CF9AE}" pid="16" name="logo">
    <vt:lpwstr>images/RMIPHEX.png</vt:lpwstr>
  </property>
  <property fmtid="{D5CDD505-2E9C-101B-9397-08002B2CF9AE}" pid="17" name="menu">
    <vt:lpwstr>True</vt:lpwstr>
  </property>
  <property fmtid="{D5CDD505-2E9C-101B-9397-08002B2CF9AE}" pid="18" name="modulecode">
    <vt:lpwstr>PS52007D</vt:lpwstr>
  </property>
  <property fmtid="{D5CDD505-2E9C-101B-9397-08002B2CF9AE}" pid="19" name="navigation-mode">
    <vt:lpwstr>linear</vt:lpwstr>
  </property>
  <property fmtid="{D5CDD505-2E9C-101B-9397-08002B2CF9AE}" pid="20" name="preview-links">
    <vt:lpwstr>True</vt:lpwstr>
  </property>
  <property fmtid="{D5CDD505-2E9C-101B-9397-08002B2CF9AE}" pid="21" name="subtitle">
    <vt:lpwstr>Module Overview &amp; What is Science?</vt:lpwstr>
  </property>
  <property fmtid="{D5CDD505-2E9C-101B-9397-08002B2CF9AE}" pid="22" name="toc-title">
    <vt:lpwstr>Table of contents</vt:lpwstr>
  </property>
</Properties>
</file>